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D74344" w14:textId="77777777" w:rsidR="00C44EDA" w:rsidRPr="00D82B86" w:rsidRDefault="00C44EDA" w:rsidP="00FE173F">
      <w:pPr>
        <w:pStyle w:val="PaperTitle"/>
        <w:spacing w:before="0"/>
      </w:pPr>
      <w:r w:rsidRPr="00D82B86">
        <w:t>Seizure EEG Signal Classification Using Metric</w:t>
      </w:r>
    </w:p>
    <w:p w14:paraId="3B9815EA" w14:textId="41CDD8BA" w:rsidR="0016385D" w:rsidRPr="00D82B86" w:rsidRDefault="00C44EDA" w:rsidP="00C44EDA">
      <w:pPr>
        <w:pStyle w:val="PaperTitle"/>
        <w:spacing w:before="0"/>
        <w:rPr>
          <w:b w:val="0"/>
          <w:bCs/>
          <w:sz w:val="24"/>
          <w:szCs w:val="24"/>
        </w:rPr>
      </w:pPr>
      <w:r w:rsidRPr="00D82B86">
        <w:t>Learning Based Convolutional Neural Network</w:t>
      </w:r>
      <w:r w:rsidR="00BE5FD1" w:rsidRPr="00D82B86">
        <w:t xml:space="preserve"> </w:t>
      </w:r>
    </w:p>
    <w:p w14:paraId="548D96A3" w14:textId="2C5B2039" w:rsidR="00C14B14" w:rsidRPr="00D82B86" w:rsidRDefault="00C44EDA" w:rsidP="00FE173F">
      <w:pPr>
        <w:pStyle w:val="AuthorName"/>
        <w:rPr>
          <w:sz w:val="20"/>
          <w:lang w:val="en-GB" w:eastAsia="en-GB"/>
        </w:rPr>
      </w:pPr>
      <w:r w:rsidRPr="00D82B86">
        <w:t>Zheng You Lim</w:t>
      </w:r>
      <w:r w:rsidRPr="00D82B86">
        <w:rPr>
          <w:vertAlign w:val="superscript"/>
        </w:rPr>
        <w:t>1,</w:t>
      </w:r>
      <w:r w:rsidR="00FE173F">
        <w:rPr>
          <w:vertAlign w:val="superscript"/>
        </w:rPr>
        <w:t xml:space="preserve"> </w:t>
      </w:r>
      <w:r w:rsidRPr="00D82B86">
        <w:rPr>
          <w:vertAlign w:val="superscript"/>
        </w:rPr>
        <w:t>b)</w:t>
      </w:r>
      <w:r w:rsidRPr="00D82B86">
        <w:t>, Ying Han Pang</w:t>
      </w:r>
      <w:r w:rsidRPr="00D82B86">
        <w:rPr>
          <w:vertAlign w:val="superscript"/>
        </w:rPr>
        <w:t>1,</w:t>
      </w:r>
      <w:r w:rsidR="00FE173F">
        <w:rPr>
          <w:vertAlign w:val="superscript"/>
        </w:rPr>
        <w:t xml:space="preserve"> </w:t>
      </w:r>
      <w:r w:rsidR="0005796A" w:rsidRPr="00D82B86">
        <w:rPr>
          <w:vertAlign w:val="superscript"/>
        </w:rPr>
        <w:t>2</w:t>
      </w:r>
      <w:r w:rsidR="009B0145">
        <w:rPr>
          <w:vertAlign w:val="superscript"/>
        </w:rPr>
        <w:t>,</w:t>
      </w:r>
      <w:r w:rsidRPr="00D82B86">
        <w:rPr>
          <w:vertAlign w:val="superscript"/>
        </w:rPr>
        <w:t xml:space="preserve"> a)</w:t>
      </w:r>
      <w:r w:rsidRPr="00D82B86">
        <w:t>, Shih Yin Ooi</w:t>
      </w:r>
      <w:r w:rsidRPr="00D82B86">
        <w:rPr>
          <w:vertAlign w:val="superscript"/>
        </w:rPr>
        <w:t>1,</w:t>
      </w:r>
      <w:r w:rsidR="00FE173F">
        <w:rPr>
          <w:vertAlign w:val="superscript"/>
        </w:rPr>
        <w:t xml:space="preserve"> </w:t>
      </w:r>
      <w:r w:rsidR="0005796A" w:rsidRPr="00D82B86">
        <w:rPr>
          <w:vertAlign w:val="superscript"/>
        </w:rPr>
        <w:t>2</w:t>
      </w:r>
      <w:r w:rsidR="009B0145">
        <w:rPr>
          <w:vertAlign w:val="superscript"/>
        </w:rPr>
        <w:t>,</w:t>
      </w:r>
      <w:r w:rsidRPr="00D82B86">
        <w:rPr>
          <w:vertAlign w:val="superscript"/>
        </w:rPr>
        <w:t xml:space="preserve"> c)</w:t>
      </w:r>
      <w:r w:rsidRPr="00D82B86">
        <w:t>, Wee How Khoh</w:t>
      </w:r>
      <w:r w:rsidRPr="00D82B86">
        <w:rPr>
          <w:vertAlign w:val="superscript"/>
        </w:rPr>
        <w:t>1,</w:t>
      </w:r>
      <w:r w:rsidR="00FE173F">
        <w:rPr>
          <w:vertAlign w:val="superscript"/>
        </w:rPr>
        <w:t xml:space="preserve"> </w:t>
      </w:r>
      <w:r w:rsidR="0005796A" w:rsidRPr="00D82B86">
        <w:rPr>
          <w:vertAlign w:val="superscript"/>
        </w:rPr>
        <w:t>2</w:t>
      </w:r>
      <w:r w:rsidR="009B0145">
        <w:rPr>
          <w:vertAlign w:val="superscript"/>
        </w:rPr>
        <w:t>,</w:t>
      </w:r>
      <w:r w:rsidRPr="00D82B86">
        <w:rPr>
          <w:vertAlign w:val="superscript"/>
        </w:rPr>
        <w:t xml:space="preserve"> d)</w:t>
      </w:r>
      <w:r w:rsidR="00FE173F">
        <w:t xml:space="preserve"> and</w:t>
      </w:r>
      <w:r w:rsidRPr="00D82B86">
        <w:t xml:space="preserve"> Fu San Hiew</w:t>
      </w:r>
      <w:r w:rsidR="0005796A" w:rsidRPr="00D82B86">
        <w:rPr>
          <w:vertAlign w:val="superscript"/>
        </w:rPr>
        <w:t>3</w:t>
      </w:r>
      <w:r w:rsidRPr="00D82B86">
        <w:rPr>
          <w:vertAlign w:val="superscript"/>
        </w:rPr>
        <w:t>, e)</w:t>
      </w:r>
    </w:p>
    <w:p w14:paraId="5195F507" w14:textId="3CF0EE96" w:rsidR="0005796A" w:rsidRPr="00D82B86" w:rsidRDefault="00027428" w:rsidP="00C44EDA">
      <w:pPr>
        <w:pStyle w:val="AuthorAffiliation"/>
        <w:rPr>
          <w:i w:val="0"/>
          <w:iCs/>
          <w:vertAlign w:val="superscript"/>
        </w:rPr>
      </w:pPr>
      <w:r w:rsidRPr="00D82B86">
        <w:rPr>
          <w:i w:val="0"/>
          <w:iCs/>
          <w:vertAlign w:val="superscript"/>
        </w:rPr>
        <w:t>1</w:t>
      </w:r>
      <w:r w:rsidR="0005796A" w:rsidRPr="00D82B86">
        <w:t xml:space="preserve">Centre for Advanced Analytics, </w:t>
      </w:r>
      <w:proofErr w:type="spellStart"/>
      <w:r w:rsidR="0005796A" w:rsidRPr="00D82B86">
        <w:t>CoE</w:t>
      </w:r>
      <w:proofErr w:type="spellEnd"/>
      <w:r w:rsidR="0005796A" w:rsidRPr="00D82B86">
        <w:t xml:space="preserve"> for Artificial Intelligence, Multimedia University, Jalan Ayer Keroh Lama, 75450 Bukit </w:t>
      </w:r>
      <w:proofErr w:type="spellStart"/>
      <w:r w:rsidR="0005796A" w:rsidRPr="00D82B86">
        <w:t>Beruang</w:t>
      </w:r>
      <w:proofErr w:type="spellEnd"/>
      <w:r w:rsidR="0005796A" w:rsidRPr="00D82B86">
        <w:t>, Melaka, Malaysia</w:t>
      </w:r>
    </w:p>
    <w:p w14:paraId="5CFA9C09" w14:textId="01A465FD" w:rsidR="00C14B14" w:rsidRPr="00D82B86" w:rsidRDefault="0005796A" w:rsidP="00C44EDA">
      <w:pPr>
        <w:pStyle w:val="AuthorAffiliation"/>
      </w:pPr>
      <w:r w:rsidRPr="00D82B86">
        <w:rPr>
          <w:i w:val="0"/>
          <w:iCs/>
          <w:vertAlign w:val="superscript"/>
        </w:rPr>
        <w:t>2</w:t>
      </w:r>
      <w:r w:rsidR="00C44EDA" w:rsidRPr="00D82B86">
        <w:t>Faculty of Information Science and Technology, Multimedia University,</w:t>
      </w:r>
      <w:r w:rsidR="008309BB">
        <w:t xml:space="preserve"> </w:t>
      </w:r>
      <w:r w:rsidR="00C44EDA" w:rsidRPr="00D82B86">
        <w:t>Jalan Ayer Keroh Lama, Ayer Keroh, 75450</w:t>
      </w:r>
      <w:r w:rsidR="008309BB">
        <w:t xml:space="preserve"> </w:t>
      </w:r>
      <w:r w:rsidR="008309BB" w:rsidRPr="00D82B86">
        <w:t xml:space="preserve">Bukit </w:t>
      </w:r>
      <w:proofErr w:type="spellStart"/>
      <w:r w:rsidR="008309BB" w:rsidRPr="00D82B86">
        <w:t>Beruang</w:t>
      </w:r>
      <w:proofErr w:type="spellEnd"/>
      <w:r w:rsidR="00C44EDA" w:rsidRPr="00D82B86">
        <w:t>, Melaka, Malaysia.</w:t>
      </w:r>
    </w:p>
    <w:p w14:paraId="771D6B6C" w14:textId="0470D222" w:rsidR="00C14B14" w:rsidRPr="00D82B86" w:rsidRDefault="0005796A" w:rsidP="00C44EDA">
      <w:pPr>
        <w:pStyle w:val="AuthorAffiliation"/>
      </w:pPr>
      <w:r w:rsidRPr="00D82B86">
        <w:rPr>
          <w:i w:val="0"/>
          <w:iCs/>
          <w:vertAlign w:val="superscript"/>
        </w:rPr>
        <w:t>3</w:t>
      </w:r>
      <w:r w:rsidR="00C44EDA" w:rsidRPr="00D82B86">
        <w:t xml:space="preserve">Infineon Technologies, Free Trade Zone Batu </w:t>
      </w:r>
      <w:proofErr w:type="spellStart"/>
      <w:r w:rsidR="00C44EDA" w:rsidRPr="00D82B86">
        <w:t>Berendam</w:t>
      </w:r>
      <w:proofErr w:type="spellEnd"/>
      <w:r w:rsidR="00C44EDA" w:rsidRPr="00D82B86">
        <w:t>, Ayer Keroh,</w:t>
      </w:r>
      <w:r w:rsidR="008309BB">
        <w:t xml:space="preserve"> </w:t>
      </w:r>
      <w:r w:rsidR="00C44EDA" w:rsidRPr="00D82B86">
        <w:t>75350, Melaka, Malaysia</w:t>
      </w:r>
    </w:p>
    <w:p w14:paraId="7FBD9AB7" w14:textId="54383B43" w:rsidR="00C44EDA" w:rsidRPr="00D82B86" w:rsidRDefault="00C14B14" w:rsidP="009B0145">
      <w:pPr>
        <w:pStyle w:val="AuthorAffiliation"/>
      </w:pPr>
      <w:r w:rsidRPr="00D82B86">
        <w:br/>
      </w:r>
      <w:r w:rsidR="00003D7C" w:rsidRPr="00D82B86">
        <w:rPr>
          <w:szCs w:val="28"/>
          <w:vertAlign w:val="superscript"/>
        </w:rPr>
        <w:t>a)</w:t>
      </w:r>
      <w:r w:rsidR="00003D7C" w:rsidRPr="00D82B86">
        <w:t xml:space="preserve"> Corresponding</w:t>
      </w:r>
      <w:r w:rsidR="004E3CB2" w:rsidRPr="00D82B86">
        <w:t xml:space="preserve"> author: </w:t>
      </w:r>
      <w:r w:rsidR="00C44EDA" w:rsidRPr="00827578">
        <w:t>yhpang@mmu.edu.my</w:t>
      </w:r>
      <w:r w:rsidR="00C44EDA" w:rsidRPr="00D82B86">
        <w:t xml:space="preserve"> </w:t>
      </w:r>
      <w:r w:rsidR="001D469C" w:rsidRPr="00D82B86">
        <w:br/>
      </w:r>
      <w:proofErr w:type="gramStart"/>
      <w:r w:rsidR="003A5C85" w:rsidRPr="00D82B86">
        <w:rPr>
          <w:szCs w:val="28"/>
          <w:vertAlign w:val="superscript"/>
        </w:rPr>
        <w:t>b)</w:t>
      </w:r>
      <w:r w:rsidR="00827578" w:rsidRPr="00827578">
        <w:t>lim.zhengyou@mmu.edu.my</w:t>
      </w:r>
      <w:proofErr w:type="gramEnd"/>
    </w:p>
    <w:p w14:paraId="2845A010" w14:textId="0419990C" w:rsidR="00C44EDA" w:rsidRPr="008309BB" w:rsidRDefault="00C44EDA" w:rsidP="00C44EDA">
      <w:pPr>
        <w:pStyle w:val="AuthorEmail"/>
        <w:rPr>
          <w:i/>
          <w:iCs/>
        </w:rPr>
      </w:pPr>
      <w:r w:rsidRPr="008309BB">
        <w:rPr>
          <w:i/>
          <w:iCs/>
          <w:szCs w:val="28"/>
          <w:vertAlign w:val="superscript"/>
        </w:rPr>
        <w:t>c)</w:t>
      </w:r>
      <w:r w:rsidR="00A60BEA" w:rsidRPr="008309BB">
        <w:rPr>
          <w:i/>
          <w:iCs/>
        </w:rPr>
        <w:t>syooi@mmu.edu.my</w:t>
      </w:r>
    </w:p>
    <w:p w14:paraId="1D544FFC" w14:textId="5A36D47A" w:rsidR="00C44EDA" w:rsidRPr="008309BB" w:rsidRDefault="00C44EDA" w:rsidP="00C44EDA">
      <w:pPr>
        <w:pStyle w:val="AuthorEmail"/>
        <w:rPr>
          <w:i/>
          <w:iCs/>
        </w:rPr>
      </w:pPr>
      <w:r w:rsidRPr="008309BB">
        <w:rPr>
          <w:i/>
          <w:iCs/>
          <w:szCs w:val="28"/>
          <w:vertAlign w:val="superscript"/>
        </w:rPr>
        <w:t>d)</w:t>
      </w:r>
      <w:r w:rsidR="00827578" w:rsidRPr="008309BB">
        <w:rPr>
          <w:i/>
          <w:iCs/>
        </w:rPr>
        <w:t>whkhoh@mmu.edu.my</w:t>
      </w:r>
    </w:p>
    <w:p w14:paraId="5C680352" w14:textId="0F102F4E" w:rsidR="00C44EDA" w:rsidRPr="008309BB" w:rsidRDefault="00C44EDA" w:rsidP="00E34CFF">
      <w:pPr>
        <w:pStyle w:val="AuthorEmail"/>
        <w:rPr>
          <w:i/>
          <w:iCs/>
        </w:rPr>
      </w:pPr>
      <w:proofErr w:type="gramStart"/>
      <w:r w:rsidRPr="008309BB">
        <w:rPr>
          <w:i/>
          <w:iCs/>
          <w:szCs w:val="28"/>
          <w:vertAlign w:val="superscript"/>
        </w:rPr>
        <w:t>e)</w:t>
      </w:r>
      <w:r w:rsidR="00827578" w:rsidRPr="008309BB">
        <w:rPr>
          <w:i/>
          <w:iCs/>
        </w:rPr>
        <w:t>fusan.hiew@infineon.com</w:t>
      </w:r>
      <w:proofErr w:type="gramEnd"/>
      <w:r w:rsidR="00A60BEA" w:rsidRPr="008309BB">
        <w:rPr>
          <w:i/>
          <w:iCs/>
        </w:rPr>
        <w:t xml:space="preserve"> </w:t>
      </w:r>
    </w:p>
    <w:p w14:paraId="22C3F2A8" w14:textId="474A8BB1" w:rsidR="0016385D" w:rsidRPr="00D82B86" w:rsidRDefault="0016385D" w:rsidP="00827578">
      <w:pPr>
        <w:pStyle w:val="Abstract"/>
      </w:pPr>
      <w:r w:rsidRPr="00D82B86">
        <w:rPr>
          <w:b/>
          <w:bCs/>
        </w:rPr>
        <w:t>Abstract.</w:t>
      </w:r>
      <w:r w:rsidRPr="00D82B86">
        <w:t xml:space="preserve"> </w:t>
      </w:r>
      <w:r w:rsidR="00016620" w:rsidRPr="00D82B86">
        <w:t>An epileptic seizure is a neurological condition caused by the abrupt disruption of normal brain activity and poses risks such as paralysis or life-threatening. Early detection is vital because an estimated 70% of individuals with epilepsy can potentially live seizure-free lives if detected early. The electroencephalogram (EEG) is one of the diagnostic tools used for seizure diagnosis. Nevertheless, EEG signals exhibit inherent noise and complexity, exhibiting a substantial degree of similarity between seizure and non-seizure classes, causing a high level of data sparsity. Convolutional neural network (CNN) is inefficient in handling this data sparsity. Therefore, this paper introduces the metric learning training process to improve CNN's ability to organize feature vectors, promoting the clustering of EEG waveforms from the same class.</w:t>
      </w:r>
      <w:r w:rsidR="002D349E">
        <w:t xml:space="preserve"> This model</w:t>
      </w:r>
      <w:r w:rsidR="00016620" w:rsidRPr="00D82B86">
        <w:t xml:space="preserve"> is namely the Metric Learning Based Convolutional Neural Network (MLBCNN)</w:t>
      </w:r>
      <w:r w:rsidR="002D349E">
        <w:t xml:space="preserve"> where</w:t>
      </w:r>
      <w:r w:rsidR="00016620" w:rsidRPr="00D82B86">
        <w:t xml:space="preserve"> metric learning principles are incorporated into the CNN training process, aiming to shift the emphasis from solely relying on error differences to optimizing the organization of feature vectors in the metric space. It is to cluster feature vectors with high similarity, mitigating the challenges posed by data sparsity and enhancing the CNN's ability to </w:t>
      </w:r>
      <w:r w:rsidR="003B7F80" w:rsidRPr="00D82B86">
        <w:t>classify EEG data accurately</w:t>
      </w:r>
      <w:r w:rsidR="00016620" w:rsidRPr="00D82B86">
        <w:t xml:space="preserve">. The performance of the proposed model is evaluated using a publicly available dataset, i.e. Epileptic Seizure Recognition database by the Rochester Institute of Technology. </w:t>
      </w:r>
      <w:r w:rsidR="002D349E">
        <w:t>As results,</w:t>
      </w:r>
      <w:r w:rsidR="00016620" w:rsidRPr="00D82B86">
        <w:t xml:space="preserve"> the proposed MLBCNN exhibits superior performance with 97.9% accuracy and a recall rate of 94.4%, surpassing the other machine learning and deep neural networks. The MLBCNN demonstrates considerable promise in terms of reliability, implying its potential as an epilepsy diagnosis tool.</w:t>
      </w:r>
    </w:p>
    <w:p w14:paraId="5240E3FB" w14:textId="0B1A9BD6" w:rsidR="003A287B" w:rsidRPr="00D82B86" w:rsidRDefault="00A60BEA" w:rsidP="00827578">
      <w:pPr>
        <w:pStyle w:val="Heading1"/>
        <w:rPr>
          <w:b w:val="0"/>
          <w:caps w:val="0"/>
          <w:sz w:val="20"/>
        </w:rPr>
      </w:pPr>
      <w:r w:rsidRPr="00D82B86">
        <w:t>Introduction</w:t>
      </w:r>
    </w:p>
    <w:p w14:paraId="11F9C6DB" w14:textId="398857ED" w:rsidR="009A11D4" w:rsidRPr="00D82B86" w:rsidRDefault="00BD5BE5" w:rsidP="00827578">
      <w:pPr>
        <w:pStyle w:val="Paragraph"/>
      </w:pPr>
      <w:r w:rsidRPr="00D82B86">
        <w:t>Recent advancements in neuroscience have focused on analyzing brain signals, particularly EEG data, to distinguish between seizure and non-seizure conditions, which is critical for timely medical intervention and patient care</w:t>
      </w:r>
      <w:r w:rsidR="001B4F57" w:rsidRPr="00D82B86">
        <w:t xml:space="preserve"> [1]</w:t>
      </w:r>
      <w:r w:rsidRPr="00D82B86">
        <w:t xml:space="preserve">. Seizures, characterized by abnormal brain activity, vary widely in presentation and can severely impact </w:t>
      </w:r>
      <w:proofErr w:type="gramStart"/>
      <w:r w:rsidRPr="00D82B86">
        <w:t>health</w:t>
      </w:r>
      <w:r w:rsidR="001B4F57" w:rsidRPr="00D82B86">
        <w:t xml:space="preserve"> </w:t>
      </w:r>
      <w:r w:rsidRPr="00D82B86">
        <w:t>,</w:t>
      </w:r>
      <w:proofErr w:type="gramEnd"/>
      <w:r w:rsidRPr="00D82B86">
        <w:t xml:space="preserve"> with early diagnosis enabling 70% of epileptic patients to lead normal lives</w:t>
      </w:r>
      <w:r w:rsidR="001B4F57" w:rsidRPr="00D82B86">
        <w:t xml:space="preserve"> [</w:t>
      </w:r>
      <w:r w:rsidR="00417734" w:rsidRPr="00D82B86">
        <w:t>2</w:t>
      </w:r>
      <w:r w:rsidR="001B4F57" w:rsidRPr="00D82B86">
        <w:t>]</w:t>
      </w:r>
      <w:r w:rsidRPr="00D82B86">
        <w:t>. However, traditional seizure detection methods face challenges due to human interpretation limitations</w:t>
      </w:r>
      <w:r w:rsidR="001B4F57" w:rsidRPr="00D82B86">
        <w:t xml:space="preserve"> [</w:t>
      </w:r>
      <w:r w:rsidR="00417734" w:rsidRPr="00D82B86">
        <w:t>3</w:t>
      </w:r>
      <w:r w:rsidR="001B4F57" w:rsidRPr="00D82B86">
        <w:t>]</w:t>
      </w:r>
      <w:r w:rsidRPr="00D82B86">
        <w:t xml:space="preserve"> and a global shortage of neurologists, prompting the exploration of automated approaches like deep neural networks. Despite the potential of CNNs in EEG signal classification, their effectiveness is hindered by the inherent noise, complexity, and sparsity of EEG data, as well as the subtle differences between seizure and non-seizure signals</w:t>
      </w:r>
      <w:r w:rsidR="001B4F57" w:rsidRPr="00D82B86">
        <w:t xml:space="preserve"> [</w:t>
      </w:r>
      <w:r w:rsidR="00417734" w:rsidRPr="00D82B86">
        <w:t>4</w:t>
      </w:r>
      <w:r w:rsidR="001B4F57" w:rsidRPr="00D82B86">
        <w:t>]</w:t>
      </w:r>
      <w:r w:rsidRPr="00D82B86">
        <w:t xml:space="preserve">. Researchers are addressing these challenges by adapting CNN architectures and integrating specialized techniques to improve classification accuracy and </w:t>
      </w:r>
      <w:proofErr w:type="gramStart"/>
      <w:r w:rsidRPr="00D82B86">
        <w:t>advance</w:t>
      </w:r>
      <w:proofErr w:type="gramEnd"/>
      <w:r w:rsidRPr="00D82B86">
        <w:t xml:space="preserve"> applications in neuroscience and brain-computer interfaces.</w:t>
      </w:r>
      <w:r w:rsidR="001B4F57" w:rsidRPr="00D82B86">
        <w:t xml:space="preserve"> Hence, this study introduces an improved CNN model, the Metric Learning-based Convolutional Neural Network (MLBCNN), which integrates metric learning into the training process to address the challenge of detecting subtle deviations in EEG signals. Evaluated on the Epileptic Seizure Recognition dataset, the MLBCNN achieves 97.9% accuracy and a 94.4% recall rate, outperforming other machine learning and deep learning models. These results highlight its reliability and potential as a tool for epilepsy diagnosis.</w:t>
      </w:r>
    </w:p>
    <w:p w14:paraId="7C1B60DE" w14:textId="0939511B" w:rsidR="009A11D4" w:rsidRPr="00D82B86" w:rsidRDefault="009A11D4" w:rsidP="009A11D4">
      <w:pPr>
        <w:pStyle w:val="Heading1"/>
      </w:pPr>
      <w:r w:rsidRPr="00D82B86">
        <w:lastRenderedPageBreak/>
        <w:t>Related works</w:t>
      </w:r>
    </w:p>
    <w:p w14:paraId="5BAF0CEE" w14:textId="155BA141" w:rsidR="003E6384" w:rsidRPr="00D82B86" w:rsidRDefault="003E6384" w:rsidP="00827578">
      <w:pPr>
        <w:pStyle w:val="Paragraph"/>
        <w:rPr>
          <w:lang w:val="en-GB"/>
        </w:rPr>
      </w:pPr>
      <w:r w:rsidRPr="00D82B86">
        <w:rPr>
          <w:lang w:val="en-GB"/>
        </w:rPr>
        <w:t xml:space="preserve">While deep learning has advanced EEG-based seizure detection, significant challenges remain unaddressed in current approaches. CNNs and LSTM networks [5,6] have </w:t>
      </w:r>
      <w:r w:rsidR="003B7F80" w:rsidRPr="00D82B86">
        <w:rPr>
          <w:lang w:val="en-GB"/>
        </w:rPr>
        <w:t>successfully captured</w:t>
      </w:r>
      <w:r w:rsidRPr="00D82B86">
        <w:rPr>
          <w:lang w:val="en-GB"/>
        </w:rPr>
        <w:t xml:space="preserve"> temporal patterns, yet they fundamentally struggle with the inherent sparsity and subtle inter-class variations in EEG signals. These architectures typically rely on error minimization objectives that fail to optimize the underlying feature space organization, leading to suboptimal clustering of seizure and non-seizure waveforms. Hybrid CNN-LSTM models [7] and spectrogram-based approaches [8] improve temporal analysis but introduce computational complexity while still lacking explicit mechanisms to handle feature space sparsity.</w:t>
      </w:r>
    </w:p>
    <w:p w14:paraId="5E6B5B50" w14:textId="5F63DE68" w:rsidR="003E6384" w:rsidRPr="00D82B86" w:rsidRDefault="003E6384" w:rsidP="00827578">
      <w:pPr>
        <w:pStyle w:val="Paragraph"/>
        <w:rPr>
          <w:lang w:val="en-GB"/>
        </w:rPr>
      </w:pPr>
      <w:r w:rsidRPr="00D82B86">
        <w:rPr>
          <w:lang w:val="en-GB"/>
        </w:rPr>
        <w:t>Recent innovations in transfer learning [9] and ensemble methods like Extra Trees [10] have pushed performance boundaries</w:t>
      </w:r>
      <w:r w:rsidR="003B7F80" w:rsidRPr="00D82B86">
        <w:rPr>
          <w:lang w:val="en-GB"/>
        </w:rPr>
        <w:t>. Yet,</w:t>
      </w:r>
      <w:r w:rsidRPr="00D82B86">
        <w:rPr>
          <w:lang w:val="en-GB"/>
        </w:rPr>
        <w:t xml:space="preserve"> they remain limited by their inability to directly address the core challenge of EEG classification: the high similarity between seizure and non-seizure signals in the feature space. These methods require extensive preprocessing or fail to maintain robustness across diverse patient populations. Particularly concerning is their frequent trade-off between precision and recall, with many models [6,9] reporting either high false positives or missed detections - a critical shortcoming for clinical applications.</w:t>
      </w:r>
    </w:p>
    <w:p w14:paraId="0701D52E" w14:textId="703563E2" w:rsidR="009A11D4" w:rsidRPr="00827578" w:rsidRDefault="00DA06DE" w:rsidP="00827578">
      <w:pPr>
        <w:pStyle w:val="Paragraph"/>
        <w:rPr>
          <w:lang w:val="en-GB"/>
        </w:rPr>
      </w:pPr>
      <w:r w:rsidRPr="00D82B86">
        <w:rPr>
          <w:lang w:val="en-GB"/>
        </w:rPr>
        <w:t xml:space="preserve">Our MLBCNN addresses the mentioned deficiencies using a method that joins metric learning with the CNN architecture. Traditionally, learning features and performing classification are split, but with MLBCNN, optimization </w:t>
      </w:r>
      <w:r w:rsidR="003B7F80" w:rsidRPr="00D82B86">
        <w:rPr>
          <w:lang w:val="en-GB"/>
        </w:rPr>
        <w:t>focuses on improving the divide between the two classes</w:t>
      </w:r>
      <w:r w:rsidRPr="00D82B86">
        <w:rPr>
          <w:lang w:val="en-GB"/>
        </w:rPr>
        <w:t>. The innovation is effective in circumventing the main problems linked to EEG data that previous work has dealt with</w:t>
      </w:r>
      <w:r w:rsidR="003B7F80" w:rsidRPr="00D82B86">
        <w:rPr>
          <w:lang w:val="en-GB"/>
        </w:rPr>
        <w:t>,</w:t>
      </w:r>
      <w:r w:rsidRPr="00D82B86">
        <w:rPr>
          <w:lang w:val="en-GB"/>
        </w:rPr>
        <w:t xml:space="preserve"> and </w:t>
      </w:r>
      <w:r w:rsidR="003B7F80" w:rsidRPr="00D82B86">
        <w:rPr>
          <w:lang w:val="en-GB"/>
        </w:rPr>
        <w:t xml:space="preserve">it </w:t>
      </w:r>
      <w:r w:rsidRPr="00D82B86">
        <w:rPr>
          <w:lang w:val="en-GB"/>
        </w:rPr>
        <w:t>still works much faster than convolutional or hybrid networks. Unlike spectrogram approaches, our method does not require a great deal of manual effort or heavy hand-processing of the data</w:t>
      </w:r>
      <w:r w:rsidR="003B7F80" w:rsidRPr="00D82B86">
        <w:rPr>
          <w:lang w:val="en-GB"/>
        </w:rPr>
        <w:t>,</w:t>
      </w:r>
      <w:r w:rsidRPr="00D82B86">
        <w:rPr>
          <w:lang w:val="en-GB"/>
        </w:rPr>
        <w:t xml:space="preserve"> and it provides a more reliable result.</w:t>
      </w:r>
    </w:p>
    <w:p w14:paraId="1D14FD56" w14:textId="7304D98D" w:rsidR="00AE701D" w:rsidRPr="00D82B86" w:rsidRDefault="00AE701D" w:rsidP="00AE701D">
      <w:pPr>
        <w:pStyle w:val="Heading1"/>
      </w:pPr>
      <w:r w:rsidRPr="00D82B86">
        <w:t>Methodology</w:t>
      </w:r>
    </w:p>
    <w:p w14:paraId="5201FE9E" w14:textId="360CED19" w:rsidR="00AE701D" w:rsidRPr="00D82B86" w:rsidRDefault="00AE701D" w:rsidP="00AE701D">
      <w:pPr>
        <w:pStyle w:val="Heading2"/>
      </w:pPr>
      <w:r w:rsidRPr="00D82B86">
        <w:t>Datasets</w:t>
      </w:r>
    </w:p>
    <w:p w14:paraId="496C593C" w14:textId="346303E1" w:rsidR="003C14AE" w:rsidRPr="00D82B86" w:rsidRDefault="00AD5388" w:rsidP="003C14AE">
      <w:pPr>
        <w:pStyle w:val="Paragraph"/>
      </w:pPr>
      <w:r w:rsidRPr="00D82B86">
        <w:t xml:space="preserve">This </w:t>
      </w:r>
      <w:r w:rsidR="006631F9">
        <w:t>research</w:t>
      </w:r>
      <w:r w:rsidRPr="00D82B86">
        <w:t xml:space="preserve"> utilizes </w:t>
      </w:r>
      <w:r w:rsidR="006631F9">
        <w:t>publicly available</w:t>
      </w:r>
      <w:r w:rsidRPr="00D82B86">
        <w:t xml:space="preserve"> EEG datasets from the Rochester Institute of Technology, available via the UCI machine learning repository, comprising data from 500 participants</w:t>
      </w:r>
      <w:r w:rsidR="00417734" w:rsidRPr="00D82B86">
        <w:t xml:space="preserve"> [11]</w:t>
      </w:r>
      <w:r w:rsidRPr="00D82B86">
        <w:t xml:space="preserve">. Each participant's EEG data spans 23.6 seconds, divided into 23 groups of 178 samples per second, totaling 11,500 data samples across five categories: eyes open (non-seizure), eyes closed (non-seizure), healthy brain region (non-seizure), tumor region (non-seizure), and seizure activity. Given the low prevalence of seizure data (20%), a sub-sampling technique is applied to balance the dataset, </w:t>
      </w:r>
      <w:r w:rsidR="006631F9">
        <w:t>which</w:t>
      </w:r>
      <w:r w:rsidR="006631F9" w:rsidRPr="006631F9">
        <w:t xml:space="preserve"> guarantees a 50% balanced proportion of seizure and healthy classes</w:t>
      </w:r>
      <w:r w:rsidRPr="00D82B86">
        <w:t>. The dataset is split into training (70%), testing (15%), and validation (15%) subsets to facilitate model development and evaluation.</w:t>
      </w:r>
    </w:p>
    <w:p w14:paraId="27D075AF" w14:textId="1AAF271B" w:rsidR="003C14AE" w:rsidRPr="00D82B86" w:rsidRDefault="003C14AE" w:rsidP="003C14AE">
      <w:pPr>
        <w:pStyle w:val="Heading2"/>
      </w:pPr>
      <w:r w:rsidRPr="00D82B86">
        <w:t>Metric Learning Based Convolutional Neural Network</w:t>
      </w:r>
    </w:p>
    <w:p w14:paraId="4E40AB11" w14:textId="6895B1E4" w:rsidR="00827578" w:rsidRDefault="00DA06DE" w:rsidP="00827578">
      <w:pPr>
        <w:pStyle w:val="Paragraph"/>
      </w:pPr>
      <w:r w:rsidRPr="00D82B86">
        <w:t>Analyzing raw EEG signals to identify epileptic seizures is challenging for most conventional approaches</w:t>
      </w:r>
      <w:r w:rsidR="009826C7">
        <w:t xml:space="preserve"> [12]</w:t>
      </w:r>
      <w:r w:rsidRPr="00D82B86">
        <w:t>. Because EEG measurements are sparse, slight differences in seizure and non-seizure data may not be recognizable when overlapped in the hidden space affected by noise and variations across patients. In addition, regular CNNs successfully lower the classification error by using cross-entropy loss, yet they do not have tools to organize the metric space. They simply treat each feature vector individually rather than as part of a cluster. Because the network does not understand which mutations belong to which classes, it learns ways to separate mutations of different classes only by coincidence</w:t>
      </w:r>
      <w:r w:rsidR="00827578">
        <w:t>.</w:t>
      </w:r>
    </w:p>
    <w:p w14:paraId="0AC1B452" w14:textId="7D5F5B5B" w:rsidR="003C14AE" w:rsidRPr="00D82B86" w:rsidRDefault="00AD5388" w:rsidP="00827578">
      <w:pPr>
        <w:pStyle w:val="Paragraph"/>
      </w:pPr>
      <w:r w:rsidRPr="00D82B86">
        <w:t xml:space="preserve">This study introduces a novel approach to training a convolutional neural network (CNN) for analyzing EEG data by incorporating metric learning principles, diverging from traditional error-minimization-based training. Traditional CNN training involves computing errors using a cross-entropy loss function and adjusting network parameters through backpropagation. In contrast, the proposed method focuses on optimizing the arrangement of feature vectors in the metric space to enhance clustering, </w:t>
      </w:r>
      <w:r w:rsidR="003B7F80" w:rsidRPr="00D82B86">
        <w:t xml:space="preserve">which is </w:t>
      </w:r>
      <w:r w:rsidRPr="00D82B86">
        <w:t xml:space="preserve">particularly useful given the high similarity between seizure and non-seizure EEG waveforms. Metric learning minimizes distances between similar feature vectors, grouping them together in the metric space, which addresses the challenge of data sparsity and the lack of distinct characteristics in raw EEG data. By shifting the focus from error minimization to organizing feature vectors based on similarity, the enhanced CNN training process improves the network's ability to classify seizure and non-seizure EEG signals effectively. Figure </w:t>
      </w:r>
      <w:r w:rsidR="00CE718D" w:rsidRPr="00D82B86">
        <w:t>1</w:t>
      </w:r>
      <w:r w:rsidRPr="00D82B86">
        <w:t xml:space="preserve"> provides an overview of the proposed training process for the modified CNN.</w:t>
      </w:r>
    </w:p>
    <w:p w14:paraId="0933FAFD" w14:textId="28B796A1" w:rsidR="00AD5388" w:rsidRPr="00D82B86" w:rsidRDefault="00AD5388" w:rsidP="005D03F4">
      <w:pPr>
        <w:pStyle w:val="Paragraph"/>
        <w:jc w:val="center"/>
      </w:pPr>
      <w:r w:rsidRPr="00D82B86">
        <w:rPr>
          <w:noProof/>
        </w:rPr>
        <w:lastRenderedPageBreak/>
        <w:drawing>
          <wp:inline distT="0" distB="0" distL="0" distR="0" wp14:anchorId="261A618D" wp14:editId="26E0F6FE">
            <wp:extent cx="5791200" cy="1574702"/>
            <wp:effectExtent l="0" t="0" r="0" b="6985"/>
            <wp:docPr id="34144106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07292" cy="1579077"/>
                    </a:xfrm>
                    <a:prstGeom prst="rect">
                      <a:avLst/>
                    </a:prstGeom>
                    <a:noFill/>
                  </pic:spPr>
                </pic:pic>
              </a:graphicData>
            </a:graphic>
          </wp:inline>
        </w:drawing>
      </w:r>
    </w:p>
    <w:p w14:paraId="64A05389" w14:textId="5F723E43" w:rsidR="00AD5388" w:rsidRPr="00D82B86" w:rsidRDefault="00AD5388" w:rsidP="005D03F4">
      <w:pPr>
        <w:pStyle w:val="Paragraph"/>
        <w:spacing w:before="120"/>
        <w:ind w:firstLine="0"/>
        <w:jc w:val="center"/>
      </w:pPr>
      <w:r w:rsidRPr="00D82B86">
        <w:rPr>
          <w:b/>
          <w:caps/>
        </w:rPr>
        <w:t xml:space="preserve">Figure </w:t>
      </w:r>
      <w:r w:rsidR="00CE718D" w:rsidRPr="00D82B86">
        <w:rPr>
          <w:b/>
          <w:caps/>
        </w:rPr>
        <w:t>1</w:t>
      </w:r>
      <w:r w:rsidRPr="00D82B86">
        <w:rPr>
          <w:b/>
          <w:caps/>
        </w:rPr>
        <w:t xml:space="preserve">. </w:t>
      </w:r>
      <w:r w:rsidRPr="00712C00">
        <w:rPr>
          <w:sz w:val="18"/>
          <w:szCs w:val="18"/>
        </w:rPr>
        <w:t>Overview of the training process of the proposed MLBCNN</w:t>
      </w:r>
    </w:p>
    <w:p w14:paraId="3E0E4942" w14:textId="219E474F" w:rsidR="00AD5388" w:rsidRPr="00D82B86" w:rsidRDefault="00AD5388" w:rsidP="00AD5388">
      <w:pPr>
        <w:pStyle w:val="Heading2"/>
      </w:pPr>
      <w:r w:rsidRPr="00D82B86">
        <w:t>Convolutional Neural Network (CNN)</w:t>
      </w:r>
    </w:p>
    <w:p w14:paraId="537A6ADE" w14:textId="05D95878" w:rsidR="00AD5388" w:rsidRDefault="00AD5388" w:rsidP="00AD5388">
      <w:pPr>
        <w:pStyle w:val="Paragraph"/>
      </w:pPr>
      <w:r w:rsidRPr="00D82B86">
        <w:t>In this study, the primary focus lies on the efficacy of implementing metric learning into the CNN data training process. Thus, a basic CNN architecture is adopted, i.e.</w:t>
      </w:r>
      <w:r w:rsidR="003B7F80" w:rsidRPr="00D82B86">
        <w:t>,</w:t>
      </w:r>
      <w:r w:rsidRPr="00D82B86">
        <w:t xml:space="preserve"> a three-layer CNN model is employed to transform raw EEG data into </w:t>
      </w:r>
      <w:proofErr w:type="gramStart"/>
      <w:r w:rsidRPr="00D82B86">
        <w:t>feature</w:t>
      </w:r>
      <w:proofErr w:type="gramEnd"/>
      <w:r w:rsidRPr="00D82B86">
        <w:t xml:space="preserve"> embedding vectors. Subsequently, these generated feature vectors serve as data inputs for the metric learning process. By leveraging metric learning principles, the proposed model analyzes the EEG data and produces feature representations that maximize interclass separability, facilitating improved classification of EEG data. Figure </w:t>
      </w:r>
      <w:r w:rsidR="00CE718D" w:rsidRPr="00D82B86">
        <w:t>2</w:t>
      </w:r>
      <w:r w:rsidRPr="00D82B86">
        <w:t xml:space="preserve"> depicts the summary of the CNN embedding model.</w:t>
      </w:r>
    </w:p>
    <w:p w14:paraId="7ED424D8" w14:textId="77777777" w:rsidR="00827578" w:rsidRPr="00D82B86" w:rsidRDefault="00827578" w:rsidP="00AD5388">
      <w:pPr>
        <w:pStyle w:val="Paragraph"/>
      </w:pPr>
    </w:p>
    <w:p w14:paraId="4B561C23" w14:textId="4182490D" w:rsidR="00AD5388" w:rsidRPr="00D82B86" w:rsidRDefault="00AD5388" w:rsidP="00AD5388">
      <w:pPr>
        <w:pStyle w:val="Paragraph"/>
        <w:jc w:val="center"/>
      </w:pPr>
      <w:r w:rsidRPr="00D82B86">
        <w:rPr>
          <w:noProof/>
        </w:rPr>
        <w:drawing>
          <wp:inline distT="0" distB="0" distL="0" distR="0" wp14:anchorId="3E394580" wp14:editId="1780F2F1">
            <wp:extent cx="2514600" cy="2008788"/>
            <wp:effectExtent l="0" t="0" r="0" b="0"/>
            <wp:docPr id="43502904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029041" name=""/>
                    <pic:cNvPicPr/>
                  </pic:nvPicPr>
                  <pic:blipFill>
                    <a:blip r:embed="rId10"/>
                    <a:stretch>
                      <a:fillRect/>
                    </a:stretch>
                  </pic:blipFill>
                  <pic:spPr>
                    <a:xfrm>
                      <a:off x="0" y="0"/>
                      <a:ext cx="2531080" cy="2021953"/>
                    </a:xfrm>
                    <a:prstGeom prst="rect">
                      <a:avLst/>
                    </a:prstGeom>
                  </pic:spPr>
                </pic:pic>
              </a:graphicData>
            </a:graphic>
          </wp:inline>
        </w:drawing>
      </w:r>
    </w:p>
    <w:p w14:paraId="3436F0D1" w14:textId="1BC9FF2C" w:rsidR="00584CD8" w:rsidRPr="00CE3458" w:rsidRDefault="00D82B86" w:rsidP="005D03F4">
      <w:pPr>
        <w:pStyle w:val="MDPI35textbeforelist"/>
        <w:spacing w:before="120" w:line="240" w:lineRule="auto"/>
        <w:ind w:left="0" w:firstLine="0"/>
        <w:jc w:val="center"/>
        <w:rPr>
          <w:rFonts w:ascii="Times New Roman" w:hAnsi="Times New Roman"/>
          <w:i/>
          <w:iCs/>
          <w:sz w:val="18"/>
          <w:szCs w:val="18"/>
        </w:rPr>
      </w:pPr>
      <w:r w:rsidRPr="00CE3458">
        <w:rPr>
          <w:rFonts w:ascii="Times New Roman" w:hAnsi="Times New Roman"/>
          <w:b/>
          <w:caps/>
          <w:snapToGrid/>
          <w:color w:val="auto"/>
          <w:szCs w:val="20"/>
          <w:lang w:eastAsia="en-US" w:bidi="ar-SA"/>
        </w:rPr>
        <w:t>Figure 2</w:t>
      </w:r>
      <w:r w:rsidR="00584CD8" w:rsidRPr="00CE3458">
        <w:rPr>
          <w:rFonts w:ascii="Times New Roman" w:hAnsi="Times New Roman"/>
          <w:b/>
          <w:caps/>
          <w:snapToGrid/>
          <w:color w:val="auto"/>
          <w:szCs w:val="20"/>
          <w:lang w:eastAsia="en-US" w:bidi="ar-SA"/>
        </w:rPr>
        <w:t>.</w:t>
      </w:r>
      <w:r w:rsidR="00584CD8" w:rsidRPr="00D82B86">
        <w:rPr>
          <w:rFonts w:ascii="Times New Roman" w:hAnsi="Times New Roman"/>
          <w:b/>
        </w:rPr>
        <w:t xml:space="preserve"> </w:t>
      </w:r>
      <w:r w:rsidR="00584CD8" w:rsidRPr="00712C00">
        <w:rPr>
          <w:rFonts w:ascii="Times New Roman" w:hAnsi="Times New Roman"/>
          <w:sz w:val="18"/>
          <w:szCs w:val="18"/>
          <w:lang w:val="en-MY" w:eastAsia="zh-CN"/>
        </w:rPr>
        <w:t>The summary architecture of the CNN embedding model</w:t>
      </w:r>
    </w:p>
    <w:p w14:paraId="689D1DC7" w14:textId="668750A6" w:rsidR="00AD5388" w:rsidRPr="00D82B86" w:rsidRDefault="00584CD8" w:rsidP="00584CD8">
      <w:pPr>
        <w:pStyle w:val="Heading2"/>
      </w:pPr>
      <w:r w:rsidRPr="00D82B86">
        <w:t>Metric Learning Training Process</w:t>
      </w:r>
    </w:p>
    <w:p w14:paraId="0AA18B37" w14:textId="17D13EBA" w:rsidR="00CE718D" w:rsidRDefault="00A771A5" w:rsidP="001B4F57">
      <w:pPr>
        <w:pStyle w:val="Paragraph"/>
      </w:pPr>
      <w:r w:rsidRPr="00D82B86">
        <w:t>In traditional CNN training, feature embedding vectors derived from EEG waveforms of seizures and non-seizures tend to be sparsely distributed in the metric space due to subtle differences between the two classes.</w:t>
      </w:r>
      <w:r w:rsidR="00CE718D" w:rsidRPr="00D82B86">
        <w:t xml:space="preserve"> Figure 3 shows the </w:t>
      </w:r>
      <w:r w:rsidR="006631F9">
        <w:t xml:space="preserve">seizure and non-seizure </w:t>
      </w:r>
      <w:r w:rsidR="00CE718D" w:rsidRPr="00D82B86">
        <w:t>EEG signals.</w:t>
      </w:r>
    </w:p>
    <w:p w14:paraId="123F353E" w14:textId="77777777" w:rsidR="005D03F4" w:rsidRPr="00D82B86" w:rsidRDefault="005D03F4" w:rsidP="001B4F57">
      <w:pPr>
        <w:pStyle w:val="Paragraph"/>
      </w:pPr>
    </w:p>
    <w:p w14:paraId="622E050F" w14:textId="1BCA768B" w:rsidR="00CE718D" w:rsidRPr="00D82B86" w:rsidRDefault="00CE718D" w:rsidP="00CE718D">
      <w:pPr>
        <w:pStyle w:val="Paragraph"/>
        <w:jc w:val="center"/>
      </w:pPr>
      <w:r w:rsidRPr="00D82B86">
        <w:rPr>
          <w:noProof/>
        </w:rPr>
        <w:drawing>
          <wp:inline distT="0" distB="0" distL="0" distR="0" wp14:anchorId="41326B4B" wp14:editId="5D9B584F">
            <wp:extent cx="4603805" cy="1381142"/>
            <wp:effectExtent l="0" t="0" r="6350" b="9525"/>
            <wp:docPr id="7296665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9666514" name=""/>
                    <pic:cNvPicPr/>
                  </pic:nvPicPr>
                  <pic:blipFill>
                    <a:blip r:embed="rId11"/>
                    <a:stretch>
                      <a:fillRect/>
                    </a:stretch>
                  </pic:blipFill>
                  <pic:spPr>
                    <a:xfrm>
                      <a:off x="0" y="0"/>
                      <a:ext cx="4615978" cy="1384794"/>
                    </a:xfrm>
                    <a:prstGeom prst="rect">
                      <a:avLst/>
                    </a:prstGeom>
                  </pic:spPr>
                </pic:pic>
              </a:graphicData>
            </a:graphic>
          </wp:inline>
        </w:drawing>
      </w:r>
    </w:p>
    <w:p w14:paraId="75B32511" w14:textId="3E4FCFDA" w:rsidR="00CE718D" w:rsidRDefault="00D82B86" w:rsidP="005D03F4">
      <w:pPr>
        <w:pStyle w:val="Paragraph"/>
        <w:spacing w:before="120"/>
        <w:ind w:firstLine="0"/>
        <w:jc w:val="center"/>
        <w:rPr>
          <w:sz w:val="18"/>
          <w:szCs w:val="18"/>
        </w:rPr>
      </w:pPr>
      <w:r w:rsidRPr="00D82B86">
        <w:rPr>
          <w:b/>
          <w:caps/>
        </w:rPr>
        <w:t xml:space="preserve">Figure </w:t>
      </w:r>
      <w:r>
        <w:rPr>
          <w:b/>
          <w:caps/>
        </w:rPr>
        <w:t>3</w:t>
      </w:r>
      <w:r w:rsidR="00CE718D" w:rsidRPr="00D82B86">
        <w:t xml:space="preserve">. </w:t>
      </w:r>
      <w:r w:rsidR="00CE718D" w:rsidRPr="00712C00">
        <w:rPr>
          <w:sz w:val="18"/>
          <w:szCs w:val="18"/>
        </w:rPr>
        <w:t>Seizure EEG Signal (left) vs Healthy EEG Signal (right)</w:t>
      </w:r>
    </w:p>
    <w:p w14:paraId="338ECDAC" w14:textId="3885C4C7" w:rsidR="001B4F57" w:rsidRDefault="00CE718D" w:rsidP="001B4F57">
      <w:pPr>
        <w:pStyle w:val="Paragraph"/>
      </w:pPr>
      <w:r w:rsidRPr="00D82B86">
        <w:lastRenderedPageBreak/>
        <w:t>Figure 3 shows that the</w:t>
      </w:r>
      <w:r w:rsidR="00A771A5" w:rsidRPr="00D82B86">
        <w:t xml:space="preserve"> sparsity and dispersion </w:t>
      </w:r>
      <w:r w:rsidRPr="00D82B86">
        <w:t xml:space="preserve">of the signals </w:t>
      </w:r>
      <w:r w:rsidR="00A771A5" w:rsidRPr="00D82B86">
        <w:t xml:space="preserve">complicate the classification process. To address this, metric learning is integrated into the training procedure. Metric learning focuses on optimizing distance or similarity metrics to better represent relationships between data points, thereby improving classification accuracy. As illustrated in Figure </w:t>
      </w:r>
      <w:r w:rsidRPr="00D82B86">
        <w:t>4</w:t>
      </w:r>
      <w:r w:rsidR="00A771A5" w:rsidRPr="00D82B86">
        <w:t>, feature embedding vectors (represented by blue and red squares for non-seizure and seizure signals, respectively) are initially scattered in the metric space. During metric learning, pairs of vectors</w:t>
      </w:r>
      <w:r w:rsidR="003B0B12">
        <w:t xml:space="preserve">: </w:t>
      </w:r>
      <w:r w:rsidR="00A771A5" w:rsidRPr="00D82B86">
        <w:t>a</w:t>
      </w:r>
      <w:r w:rsidR="003B0B12">
        <w:t xml:space="preserve"> pivot vector (anchor vector)</w:t>
      </w:r>
      <w:r w:rsidR="00A771A5" w:rsidRPr="00D82B86">
        <w:t xml:space="preserve"> and a </w:t>
      </w:r>
      <w:r w:rsidR="003B0B12">
        <w:t>target</w:t>
      </w:r>
      <w:r w:rsidR="00A771A5" w:rsidRPr="00D82B86">
        <w:t xml:space="preserve"> vector</w:t>
      </w:r>
      <w:r w:rsidR="003B0B12">
        <w:t xml:space="preserve"> (positive vector)</w:t>
      </w:r>
      <w:r w:rsidR="00A771A5" w:rsidRPr="00D82B86">
        <w:t xml:space="preserve"> from the same class</w:t>
      </w:r>
      <w:r w:rsidR="003B0B12">
        <w:t>,</w:t>
      </w:r>
      <w:r w:rsidR="00A771A5" w:rsidRPr="00D82B86">
        <w:t xml:space="preserve"> are selected, and their similarity is calculated using Cosine similarity. Through training, the </w:t>
      </w:r>
      <w:r w:rsidR="003B0B12">
        <w:t>target</w:t>
      </w:r>
      <w:r w:rsidR="00A771A5" w:rsidRPr="00D82B86">
        <w:t xml:space="preserve"> vector</w:t>
      </w:r>
      <w:r w:rsidR="003B0B12">
        <w:t xml:space="preserve"> </w:t>
      </w:r>
      <w:r w:rsidR="00A771A5" w:rsidRPr="00D82B86">
        <w:t xml:space="preserve">is adjusted to increase its similarity to the </w:t>
      </w:r>
      <w:r w:rsidR="003B0B12">
        <w:t>pivot</w:t>
      </w:r>
      <w:r w:rsidR="00A771A5" w:rsidRPr="00D82B86">
        <w:t xml:space="preserve"> vector, enhancing clustering and classification performance.</w:t>
      </w:r>
    </w:p>
    <w:p w14:paraId="2EE93D9C" w14:textId="77777777" w:rsidR="005D03F4" w:rsidRPr="00D82B86" w:rsidRDefault="005D03F4" w:rsidP="001B4F57">
      <w:pPr>
        <w:pStyle w:val="Paragraph"/>
      </w:pPr>
    </w:p>
    <w:p w14:paraId="67EFB468" w14:textId="1A61C352" w:rsidR="00584CD8" w:rsidRPr="00D82B86" w:rsidRDefault="00584CD8" w:rsidP="001B4F57">
      <w:pPr>
        <w:pStyle w:val="Paragraph"/>
        <w:jc w:val="center"/>
      </w:pPr>
      <w:r w:rsidRPr="00D82B86">
        <w:rPr>
          <w:noProof/>
        </w:rPr>
        <w:drawing>
          <wp:inline distT="0" distB="0" distL="0" distR="0" wp14:anchorId="4CD41F97" wp14:editId="2407E878">
            <wp:extent cx="4359275" cy="1908175"/>
            <wp:effectExtent l="0" t="0" r="3175" b="0"/>
            <wp:docPr id="111163218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59275" cy="1908175"/>
                    </a:xfrm>
                    <a:prstGeom prst="rect">
                      <a:avLst/>
                    </a:prstGeom>
                    <a:noFill/>
                  </pic:spPr>
                </pic:pic>
              </a:graphicData>
            </a:graphic>
          </wp:inline>
        </w:drawing>
      </w:r>
    </w:p>
    <w:p w14:paraId="57AEFCDB" w14:textId="6DB52F1A" w:rsidR="00584CD8" w:rsidRPr="00D82B86" w:rsidRDefault="00D82B86" w:rsidP="005D03F4">
      <w:pPr>
        <w:pStyle w:val="Paragraph"/>
        <w:spacing w:before="120"/>
        <w:ind w:firstLine="0"/>
        <w:jc w:val="center"/>
      </w:pPr>
      <w:r w:rsidRPr="00D82B86">
        <w:rPr>
          <w:b/>
          <w:caps/>
        </w:rPr>
        <w:t xml:space="preserve">Figure </w:t>
      </w:r>
      <w:r>
        <w:rPr>
          <w:b/>
          <w:caps/>
        </w:rPr>
        <w:t xml:space="preserve">4. </w:t>
      </w:r>
      <w:r w:rsidR="00584CD8" w:rsidRPr="00712C00">
        <w:rPr>
          <w:sz w:val="18"/>
          <w:szCs w:val="18"/>
        </w:rPr>
        <w:t>Metric learning for classifying seizure vs. non-seizure EEG signal</w:t>
      </w:r>
      <w:r w:rsidR="003B7F80" w:rsidRPr="00712C00">
        <w:rPr>
          <w:sz w:val="18"/>
          <w:szCs w:val="18"/>
        </w:rPr>
        <w:t>s</w:t>
      </w:r>
    </w:p>
    <w:p w14:paraId="26C99EAA" w14:textId="77777777" w:rsidR="00584CD8" w:rsidRPr="00D82B86" w:rsidRDefault="00584CD8" w:rsidP="001B4F57">
      <w:pPr>
        <w:pStyle w:val="Paragraph"/>
        <w:ind w:firstLine="0"/>
      </w:pPr>
    </w:p>
    <w:p w14:paraId="1A67DF7C" w14:textId="37E45217" w:rsidR="00584CD8" w:rsidRDefault="00584CD8" w:rsidP="00584CD8">
      <w:pPr>
        <w:pStyle w:val="MDPI35textbeforelist"/>
        <w:ind w:left="0" w:firstLine="272"/>
        <w:rPr>
          <w:rFonts w:ascii="Times New Roman" w:hAnsi="Times New Roman"/>
          <w:szCs w:val="20"/>
        </w:rPr>
      </w:pPr>
      <w:r w:rsidRPr="00D82B86">
        <w:rPr>
          <w:rFonts w:ascii="Times New Roman" w:hAnsi="Times New Roman"/>
          <w:szCs w:val="20"/>
        </w:rPr>
        <w:t xml:space="preserve">Metric learning starts with the calculation of the angle between a pair of </w:t>
      </w:r>
      <w:proofErr w:type="gramStart"/>
      <w:r w:rsidRPr="00D82B86">
        <w:rPr>
          <w:rFonts w:ascii="Times New Roman" w:hAnsi="Times New Roman"/>
          <w:szCs w:val="20"/>
        </w:rPr>
        <w:t>vectors</w:t>
      </w:r>
      <w:proofErr w:type="gramEnd"/>
      <w:r w:rsidRPr="00D82B86">
        <w:rPr>
          <w:rFonts w:ascii="Times New Roman" w:hAnsi="Times New Roman"/>
          <w:szCs w:val="20"/>
        </w:rPr>
        <w:t xml:space="preserve"> is performed by utilizing cosine similarity [24], as described in </w:t>
      </w:r>
      <w:r w:rsidR="0057213E">
        <w:rPr>
          <w:rFonts w:ascii="Times New Roman" w:hAnsi="Times New Roman"/>
          <w:szCs w:val="20"/>
        </w:rPr>
        <w:t>E</w:t>
      </w:r>
      <w:r w:rsidRPr="00D82B86">
        <w:rPr>
          <w:rFonts w:ascii="Times New Roman" w:hAnsi="Times New Roman"/>
          <w:szCs w:val="20"/>
        </w:rPr>
        <w:t>quation (1).</w:t>
      </w:r>
    </w:p>
    <w:p w14:paraId="4D1878B0" w14:textId="77777777" w:rsidR="0057213E" w:rsidRDefault="0057213E" w:rsidP="00584CD8">
      <w:pPr>
        <w:pStyle w:val="MDPI35textbeforelist"/>
        <w:ind w:left="0" w:firstLine="272"/>
        <w:rPr>
          <w:rFonts w:ascii="Times New Roman" w:hAnsi="Times New Roman"/>
          <w:szCs w:val="20"/>
        </w:rPr>
      </w:pPr>
    </w:p>
    <w:tbl>
      <w:tblPr>
        <w:tblStyle w:val="TableGrid"/>
        <w:tblW w:w="0" w:type="auto"/>
        <w:tblLook w:val="04A0" w:firstRow="1" w:lastRow="0" w:firstColumn="1" w:lastColumn="0" w:noHBand="0" w:noVBand="1"/>
      </w:tblPr>
      <w:tblGrid>
        <w:gridCol w:w="8789"/>
        <w:gridCol w:w="561"/>
      </w:tblGrid>
      <w:tr w:rsidR="0057213E" w14:paraId="2CA6BA86" w14:textId="77777777" w:rsidTr="0057213E">
        <w:tc>
          <w:tcPr>
            <w:tcW w:w="8789" w:type="dxa"/>
            <w:tcBorders>
              <w:top w:val="nil"/>
              <w:left w:val="nil"/>
              <w:bottom w:val="nil"/>
              <w:right w:val="nil"/>
            </w:tcBorders>
          </w:tcPr>
          <w:p w14:paraId="2D1EB2B0" w14:textId="4AEA5297" w:rsidR="0057213E" w:rsidRDefault="00000000" w:rsidP="00584CD8">
            <w:pPr>
              <w:pStyle w:val="MDPI35textbeforelist"/>
              <w:ind w:left="0" w:firstLine="0"/>
              <w:rPr>
                <w:rFonts w:ascii="Times New Roman" w:hAnsi="Times New Roman"/>
                <w:szCs w:val="20"/>
              </w:rPr>
            </w:pPr>
            <m:oMathPara>
              <m:oMath>
                <m:func>
                  <m:funcPr>
                    <m:ctrlPr>
                      <w:rPr>
                        <w:rFonts w:ascii="Cambria Math" w:hAnsi="Cambria Math"/>
                        <w:szCs w:val="20"/>
                      </w:rPr>
                    </m:ctrlPr>
                  </m:funcPr>
                  <m:fName>
                    <m:r>
                      <m:rPr>
                        <m:sty m:val="p"/>
                      </m:rPr>
                      <w:rPr>
                        <w:rFonts w:ascii="Cambria Math" w:hAnsi="Cambria Math"/>
                        <w:szCs w:val="20"/>
                      </w:rPr>
                      <m:t>cos</m:t>
                    </m:r>
                  </m:fName>
                  <m:e>
                    <m:d>
                      <m:dPr>
                        <m:ctrlPr>
                          <w:rPr>
                            <w:rFonts w:ascii="Cambria Math" w:hAnsi="Cambria Math"/>
                            <w:i/>
                            <w:szCs w:val="20"/>
                          </w:rPr>
                        </m:ctrlPr>
                      </m:dPr>
                      <m:e>
                        <m:r>
                          <w:rPr>
                            <w:rFonts w:ascii="Cambria Math" w:hAnsi="Cambria Math"/>
                            <w:szCs w:val="20"/>
                          </w:rPr>
                          <m:t>θ</m:t>
                        </m:r>
                      </m:e>
                    </m:d>
                  </m:e>
                </m:func>
                <m:r>
                  <w:rPr>
                    <w:rFonts w:ascii="Cambria Math" w:hAnsi="Cambria Math"/>
                    <w:szCs w:val="20"/>
                  </w:rPr>
                  <m:t>=</m:t>
                </m:r>
                <m:f>
                  <m:fPr>
                    <m:ctrlPr>
                      <w:rPr>
                        <w:rFonts w:ascii="Cambria Math" w:hAnsi="Cambria Math"/>
                        <w:i/>
                        <w:szCs w:val="20"/>
                      </w:rPr>
                    </m:ctrlPr>
                  </m:fPr>
                  <m:num>
                    <m:nary>
                      <m:naryPr>
                        <m:chr m:val="∑"/>
                        <m:limLoc m:val="undOvr"/>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b>
                          <m:sSubPr>
                            <m:ctrlPr>
                              <w:rPr>
                                <w:rFonts w:ascii="Cambria Math" w:hAnsi="Cambria Math"/>
                                <w:i/>
                                <w:szCs w:val="20"/>
                              </w:rPr>
                            </m:ctrlPr>
                          </m:sSubPr>
                          <m:e>
                            <m:r>
                              <w:rPr>
                                <w:rFonts w:ascii="Cambria Math" w:hAnsi="Cambria Math"/>
                                <w:szCs w:val="20"/>
                              </w:rPr>
                              <m:t>A</m:t>
                            </m:r>
                          </m:e>
                          <m:sub>
                            <m:r>
                              <w:rPr>
                                <w:rFonts w:ascii="Cambria Math" w:hAnsi="Cambria Math"/>
                                <w:szCs w:val="20"/>
                              </w:rPr>
                              <m:t>i</m:t>
                            </m:r>
                          </m:sub>
                        </m:sSub>
                        <m:sSub>
                          <m:sSubPr>
                            <m:ctrlPr>
                              <w:rPr>
                                <w:rFonts w:ascii="Cambria Math" w:hAnsi="Cambria Math"/>
                                <w:i/>
                                <w:szCs w:val="20"/>
                              </w:rPr>
                            </m:ctrlPr>
                          </m:sSubPr>
                          <m:e>
                            <m:r>
                              <w:rPr>
                                <w:rFonts w:ascii="Cambria Math" w:hAnsi="Cambria Math"/>
                                <w:szCs w:val="20"/>
                              </w:rPr>
                              <m:t>B</m:t>
                            </m:r>
                          </m:e>
                          <m:sub>
                            <m:r>
                              <w:rPr>
                                <w:rFonts w:ascii="Cambria Math" w:hAnsi="Cambria Math"/>
                                <w:szCs w:val="20"/>
                              </w:rPr>
                              <m:t>i</m:t>
                            </m:r>
                          </m:sub>
                        </m:sSub>
                      </m:e>
                    </m:nary>
                  </m:num>
                  <m:den>
                    <m:rad>
                      <m:radPr>
                        <m:degHide m:val="1"/>
                        <m:ctrlPr>
                          <w:rPr>
                            <w:rFonts w:ascii="Cambria Math" w:hAnsi="Cambria Math"/>
                            <w:i/>
                            <w:szCs w:val="20"/>
                          </w:rPr>
                        </m:ctrlPr>
                      </m:radPr>
                      <m:deg/>
                      <m:e>
                        <m:nary>
                          <m:naryPr>
                            <m:chr m:val="∑"/>
                            <m:limLoc m:val="undOvr"/>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p>
                              <m:sSupPr>
                                <m:ctrlPr>
                                  <w:rPr>
                                    <w:rFonts w:ascii="Cambria Math" w:hAnsi="Cambria Math"/>
                                    <w:i/>
                                    <w:szCs w:val="20"/>
                                  </w:rPr>
                                </m:ctrlPr>
                              </m:sSupPr>
                              <m:e>
                                <m:sSub>
                                  <m:sSubPr>
                                    <m:ctrlPr>
                                      <w:rPr>
                                        <w:rFonts w:ascii="Cambria Math" w:hAnsi="Cambria Math"/>
                                        <w:i/>
                                        <w:szCs w:val="20"/>
                                      </w:rPr>
                                    </m:ctrlPr>
                                  </m:sSubPr>
                                  <m:e>
                                    <m:r>
                                      <w:rPr>
                                        <w:rFonts w:ascii="Cambria Math" w:hAnsi="Cambria Math"/>
                                        <w:szCs w:val="20"/>
                                      </w:rPr>
                                      <m:t>A</m:t>
                                    </m:r>
                                  </m:e>
                                  <m:sub>
                                    <m:r>
                                      <w:rPr>
                                        <w:rFonts w:ascii="Cambria Math" w:hAnsi="Cambria Math"/>
                                        <w:szCs w:val="20"/>
                                      </w:rPr>
                                      <m:t>i</m:t>
                                    </m:r>
                                  </m:sub>
                                </m:sSub>
                              </m:e>
                              <m:sup>
                                <m:r>
                                  <w:rPr>
                                    <w:rFonts w:ascii="Cambria Math" w:hAnsi="Cambria Math"/>
                                    <w:szCs w:val="20"/>
                                  </w:rPr>
                                  <m:t>2</m:t>
                                </m:r>
                              </m:sup>
                            </m:sSup>
                          </m:e>
                        </m:nary>
                      </m:e>
                    </m:rad>
                    <m:rad>
                      <m:radPr>
                        <m:degHide m:val="1"/>
                        <m:ctrlPr>
                          <w:rPr>
                            <w:rFonts w:ascii="Cambria Math" w:hAnsi="Cambria Math"/>
                            <w:i/>
                            <w:szCs w:val="20"/>
                          </w:rPr>
                        </m:ctrlPr>
                      </m:radPr>
                      <m:deg/>
                      <m:e>
                        <m:nary>
                          <m:naryPr>
                            <m:chr m:val="∑"/>
                            <m:limLoc m:val="undOvr"/>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p>
                              <m:sSupPr>
                                <m:ctrlPr>
                                  <w:rPr>
                                    <w:rFonts w:ascii="Cambria Math" w:hAnsi="Cambria Math"/>
                                    <w:i/>
                                    <w:szCs w:val="20"/>
                                  </w:rPr>
                                </m:ctrlPr>
                              </m:sSupPr>
                              <m:e>
                                <m:sSub>
                                  <m:sSubPr>
                                    <m:ctrlPr>
                                      <w:rPr>
                                        <w:rFonts w:ascii="Cambria Math" w:hAnsi="Cambria Math"/>
                                        <w:i/>
                                        <w:szCs w:val="20"/>
                                      </w:rPr>
                                    </m:ctrlPr>
                                  </m:sSubPr>
                                  <m:e>
                                    <m:r>
                                      <w:rPr>
                                        <w:rFonts w:ascii="Cambria Math" w:hAnsi="Cambria Math"/>
                                        <w:szCs w:val="20"/>
                                      </w:rPr>
                                      <m:t>B</m:t>
                                    </m:r>
                                  </m:e>
                                  <m:sub>
                                    <m:r>
                                      <w:rPr>
                                        <w:rFonts w:ascii="Cambria Math" w:hAnsi="Cambria Math"/>
                                        <w:szCs w:val="20"/>
                                      </w:rPr>
                                      <m:t>i</m:t>
                                    </m:r>
                                  </m:sub>
                                </m:sSub>
                              </m:e>
                              <m:sup>
                                <m:r>
                                  <w:rPr>
                                    <w:rFonts w:ascii="Cambria Math" w:hAnsi="Cambria Math"/>
                                    <w:szCs w:val="20"/>
                                  </w:rPr>
                                  <m:t>2</m:t>
                                </m:r>
                              </m:sup>
                            </m:sSup>
                          </m:e>
                        </m:nary>
                      </m:e>
                    </m:rad>
                  </m:den>
                </m:f>
                <m:r>
                  <w:rPr>
                    <w:rFonts w:ascii="Cambria Math" w:hAnsi="Cambria Math"/>
                    <w:szCs w:val="20"/>
                  </w:rPr>
                  <m:t xml:space="preserve">          </m:t>
                </m:r>
              </m:oMath>
            </m:oMathPara>
          </w:p>
        </w:tc>
        <w:tc>
          <w:tcPr>
            <w:tcW w:w="561" w:type="dxa"/>
            <w:tcBorders>
              <w:top w:val="nil"/>
              <w:left w:val="nil"/>
              <w:bottom w:val="nil"/>
              <w:right w:val="nil"/>
            </w:tcBorders>
            <w:vAlign w:val="center"/>
          </w:tcPr>
          <w:p w14:paraId="0DB9D17F" w14:textId="24BF842B" w:rsidR="0057213E" w:rsidRDefault="0057213E" w:rsidP="0057213E">
            <w:pPr>
              <w:pStyle w:val="MDPI35textbeforelist"/>
              <w:ind w:left="0" w:firstLine="0"/>
              <w:jc w:val="center"/>
              <w:rPr>
                <w:rFonts w:ascii="Times New Roman" w:hAnsi="Times New Roman"/>
                <w:szCs w:val="20"/>
              </w:rPr>
            </w:pPr>
            <w:r>
              <w:rPr>
                <w:rFonts w:ascii="Times New Roman" w:hAnsi="Times New Roman"/>
                <w:szCs w:val="20"/>
              </w:rPr>
              <w:t>(1)</w:t>
            </w:r>
          </w:p>
        </w:tc>
      </w:tr>
    </w:tbl>
    <w:p w14:paraId="68B7EA52" w14:textId="77777777" w:rsidR="00584CD8" w:rsidRPr="00D82B86" w:rsidRDefault="00584CD8" w:rsidP="0057213E">
      <w:pPr>
        <w:pStyle w:val="MDPI35textbeforelist"/>
        <w:ind w:left="0" w:firstLine="0"/>
        <w:rPr>
          <w:rFonts w:ascii="Times New Roman" w:hAnsi="Times New Roman"/>
          <w:szCs w:val="20"/>
        </w:rPr>
      </w:pPr>
    </w:p>
    <w:p w14:paraId="72A53A3B" w14:textId="43DC1AA9" w:rsidR="00584CD8" w:rsidRDefault="00584CD8" w:rsidP="00584CD8">
      <w:pPr>
        <w:pStyle w:val="MDPI35textbeforelist"/>
        <w:ind w:left="0"/>
        <w:rPr>
          <w:rFonts w:ascii="Times New Roman" w:hAnsi="Times New Roman"/>
          <w:szCs w:val="20"/>
        </w:rPr>
      </w:pPr>
      <w:r w:rsidRPr="00D82B86">
        <w:rPr>
          <w:rFonts w:ascii="Times New Roman" w:hAnsi="Times New Roman"/>
          <w:szCs w:val="20"/>
        </w:rPr>
        <w:t xml:space="preserve">where </w:t>
      </w:r>
      <m:oMath>
        <m:func>
          <m:funcPr>
            <m:ctrlPr>
              <w:rPr>
                <w:rFonts w:ascii="Cambria Math" w:hAnsi="Cambria Math"/>
                <w:szCs w:val="20"/>
              </w:rPr>
            </m:ctrlPr>
          </m:funcPr>
          <m:fName>
            <m:r>
              <m:rPr>
                <m:sty m:val="p"/>
              </m:rPr>
              <w:rPr>
                <w:rFonts w:ascii="Cambria Math" w:hAnsi="Cambria Math"/>
                <w:szCs w:val="20"/>
              </w:rPr>
              <m:t>cos</m:t>
            </m:r>
          </m:fName>
          <m:e>
            <m:d>
              <m:dPr>
                <m:ctrlPr>
                  <w:rPr>
                    <w:rFonts w:ascii="Cambria Math" w:hAnsi="Cambria Math"/>
                    <w:i/>
                    <w:szCs w:val="20"/>
                  </w:rPr>
                </m:ctrlPr>
              </m:dPr>
              <m:e>
                <m:r>
                  <w:rPr>
                    <w:rFonts w:ascii="Cambria Math" w:hAnsi="Cambria Math"/>
                    <w:szCs w:val="20"/>
                  </w:rPr>
                  <m:t>θ</m:t>
                </m:r>
              </m:e>
            </m:d>
          </m:e>
        </m:func>
      </m:oMath>
      <w:r w:rsidRPr="00D82B86">
        <w:rPr>
          <w:rFonts w:ascii="Times New Roman" w:hAnsi="Times New Roman"/>
          <w:szCs w:val="20"/>
        </w:rPr>
        <w:t xml:space="preserve"> is the cosine </w:t>
      </w:r>
      <w:r w:rsidR="003B0B12">
        <w:rPr>
          <w:rFonts w:ascii="Times New Roman" w:hAnsi="Times New Roman"/>
          <w:szCs w:val="20"/>
        </w:rPr>
        <w:t>score</w:t>
      </w:r>
      <w:r w:rsidRPr="00D82B86">
        <w:rPr>
          <w:rFonts w:ascii="Times New Roman" w:hAnsi="Times New Roman"/>
          <w:szCs w:val="20"/>
        </w:rPr>
        <w:t xml:space="preserve"> of the </w:t>
      </w:r>
      <w:r w:rsidR="003B0B12">
        <w:rPr>
          <w:rFonts w:ascii="Times New Roman" w:hAnsi="Times New Roman"/>
          <w:szCs w:val="20"/>
        </w:rPr>
        <w:t>pivot</w:t>
      </w:r>
      <w:r w:rsidRPr="00D82B86">
        <w:rPr>
          <w:rFonts w:ascii="Times New Roman" w:hAnsi="Times New Roman"/>
          <w:szCs w:val="20"/>
        </w:rPr>
        <w:t xml:space="preserve"> feature vector </w:t>
      </w:r>
      <m:oMath>
        <m:sSub>
          <m:sSubPr>
            <m:ctrlPr>
              <w:rPr>
                <w:rFonts w:ascii="Cambria Math" w:hAnsi="Cambria Math"/>
                <w:i/>
                <w:szCs w:val="20"/>
              </w:rPr>
            </m:ctrlPr>
          </m:sSubPr>
          <m:e>
            <m:r>
              <w:rPr>
                <w:rFonts w:ascii="Cambria Math" w:hAnsi="Cambria Math"/>
                <w:szCs w:val="20"/>
              </w:rPr>
              <m:t>A</m:t>
            </m:r>
          </m:e>
          <m:sub>
            <m:r>
              <w:rPr>
                <w:rFonts w:ascii="Cambria Math" w:hAnsi="Cambria Math"/>
                <w:szCs w:val="20"/>
              </w:rPr>
              <m:t>i</m:t>
            </m:r>
          </m:sub>
        </m:sSub>
      </m:oMath>
      <w:r w:rsidRPr="00D82B86">
        <w:rPr>
          <w:rFonts w:ascii="Times New Roman" w:hAnsi="Times New Roman"/>
          <w:szCs w:val="20"/>
        </w:rPr>
        <w:t xml:space="preserve"> and </w:t>
      </w:r>
      <w:r w:rsidR="003B0B12">
        <w:rPr>
          <w:rFonts w:ascii="Times New Roman" w:hAnsi="Times New Roman"/>
          <w:szCs w:val="20"/>
        </w:rPr>
        <w:t>target</w:t>
      </w:r>
      <w:r w:rsidRPr="00D82B86">
        <w:rPr>
          <w:rFonts w:ascii="Times New Roman" w:hAnsi="Times New Roman"/>
          <w:szCs w:val="20"/>
        </w:rPr>
        <w:t xml:space="preserve"> feature vector </w:t>
      </w:r>
      <m:oMath>
        <m:sSub>
          <m:sSubPr>
            <m:ctrlPr>
              <w:rPr>
                <w:rFonts w:ascii="Cambria Math" w:hAnsi="Cambria Math"/>
                <w:i/>
                <w:szCs w:val="20"/>
              </w:rPr>
            </m:ctrlPr>
          </m:sSubPr>
          <m:e>
            <m:r>
              <w:rPr>
                <w:rFonts w:ascii="Cambria Math" w:hAnsi="Cambria Math"/>
                <w:szCs w:val="20"/>
              </w:rPr>
              <m:t>B</m:t>
            </m:r>
          </m:e>
          <m:sub>
            <m:r>
              <w:rPr>
                <w:rFonts w:ascii="Cambria Math" w:hAnsi="Cambria Math"/>
                <w:szCs w:val="20"/>
              </w:rPr>
              <m:t>i</m:t>
            </m:r>
          </m:sub>
        </m:sSub>
      </m:oMath>
      <w:r w:rsidRPr="00D82B86">
        <w:rPr>
          <w:rFonts w:ascii="Times New Roman" w:hAnsi="Times New Roman"/>
          <w:szCs w:val="20"/>
        </w:rPr>
        <w:t xml:space="preserve">; </w:t>
      </w:r>
      <w:r w:rsidRPr="00D82B86">
        <w:rPr>
          <w:rFonts w:ascii="Times New Roman" w:hAnsi="Times New Roman"/>
          <w:i/>
          <w:iCs/>
          <w:szCs w:val="20"/>
        </w:rPr>
        <w:t>j</w:t>
      </w:r>
      <w:r w:rsidRPr="00D82B86">
        <w:rPr>
          <w:rFonts w:ascii="Times New Roman" w:hAnsi="Times New Roman"/>
          <w:szCs w:val="20"/>
        </w:rPr>
        <w:t xml:space="preserve"> </w:t>
      </w:r>
      <w:r w:rsidR="003B0B12">
        <w:rPr>
          <w:rFonts w:ascii="Times New Roman" w:hAnsi="Times New Roman"/>
          <w:szCs w:val="20"/>
        </w:rPr>
        <w:t>values are</w:t>
      </w:r>
      <w:r w:rsidRPr="00D82B86">
        <w:rPr>
          <w:rFonts w:ascii="Times New Roman" w:hAnsi="Times New Roman"/>
          <w:szCs w:val="20"/>
        </w:rPr>
        <w:t xml:space="preserve"> from 1 to 8 </w:t>
      </w:r>
      <w:r w:rsidR="003B0B12">
        <w:rPr>
          <w:rFonts w:ascii="Times New Roman" w:hAnsi="Times New Roman"/>
          <w:szCs w:val="20"/>
        </w:rPr>
        <w:t>as</w:t>
      </w:r>
      <w:r w:rsidRPr="00D82B86">
        <w:rPr>
          <w:rFonts w:ascii="Times New Roman" w:hAnsi="Times New Roman"/>
          <w:szCs w:val="20"/>
        </w:rPr>
        <w:t xml:space="preserve"> </w:t>
      </w:r>
      <w:r w:rsidR="003B0B12">
        <w:rPr>
          <w:rFonts w:ascii="Times New Roman" w:hAnsi="Times New Roman"/>
          <w:szCs w:val="20"/>
        </w:rPr>
        <w:t>every</w:t>
      </w:r>
      <w:r w:rsidRPr="00D82B86">
        <w:rPr>
          <w:rFonts w:ascii="Times New Roman" w:hAnsi="Times New Roman"/>
          <w:szCs w:val="20"/>
        </w:rPr>
        <w:t xml:space="preserve"> feature vector </w:t>
      </w:r>
      <w:r w:rsidR="003B0B12">
        <w:rPr>
          <w:rFonts w:ascii="Times New Roman" w:hAnsi="Times New Roman"/>
          <w:szCs w:val="20"/>
        </w:rPr>
        <w:t>consists of</w:t>
      </w:r>
      <w:r w:rsidRPr="00D82B86">
        <w:rPr>
          <w:rFonts w:ascii="Times New Roman" w:hAnsi="Times New Roman"/>
          <w:szCs w:val="20"/>
        </w:rPr>
        <w:t xml:space="preserve"> the size of 8</w:t>
      </w:r>
      <w:r w:rsidR="003B0B12">
        <w:rPr>
          <w:rFonts w:ascii="Times New Roman" w:hAnsi="Times New Roman"/>
          <w:szCs w:val="20"/>
        </w:rPr>
        <w:t xml:space="preserve"> that</w:t>
      </w:r>
      <w:r w:rsidRPr="00D82B86">
        <w:rPr>
          <w:rFonts w:ascii="Times New Roman" w:hAnsi="Times New Roman"/>
          <w:szCs w:val="20"/>
        </w:rPr>
        <w:t xml:space="preserve"> </w:t>
      </w:r>
      <w:proofErr w:type="gramStart"/>
      <w:r w:rsidRPr="00D82B86">
        <w:rPr>
          <w:rFonts w:ascii="Times New Roman" w:hAnsi="Times New Roman"/>
          <w:szCs w:val="20"/>
        </w:rPr>
        <w:t>embedded</w:t>
      </w:r>
      <w:proofErr w:type="gramEnd"/>
      <w:r w:rsidRPr="00D82B86">
        <w:rPr>
          <w:rFonts w:ascii="Times New Roman" w:hAnsi="Times New Roman"/>
          <w:szCs w:val="20"/>
        </w:rPr>
        <w:t xml:space="preserve"> by the CNN. Then, the logit </w:t>
      </w:r>
      <w:r w:rsidR="003B0B12">
        <w:rPr>
          <w:rFonts w:ascii="Times New Roman" w:hAnsi="Times New Roman"/>
          <w:szCs w:val="20"/>
        </w:rPr>
        <w:t>score</w:t>
      </w:r>
      <w:r w:rsidRPr="00D82B86">
        <w:rPr>
          <w:rFonts w:ascii="Times New Roman" w:hAnsi="Times New Roman"/>
          <w:szCs w:val="20"/>
        </w:rPr>
        <w:t xml:space="preserve"> is </w:t>
      </w:r>
      <w:r w:rsidR="003B0B12">
        <w:rPr>
          <w:rFonts w:ascii="Times New Roman" w:hAnsi="Times New Roman"/>
          <w:szCs w:val="20"/>
        </w:rPr>
        <w:t>computed</w:t>
      </w:r>
      <w:r w:rsidRPr="00D82B86">
        <w:rPr>
          <w:rFonts w:ascii="Times New Roman" w:hAnsi="Times New Roman"/>
          <w:szCs w:val="20"/>
        </w:rPr>
        <w:t xml:space="preserve"> </w:t>
      </w:r>
      <w:r w:rsidR="003B0B12">
        <w:rPr>
          <w:rFonts w:ascii="Times New Roman" w:hAnsi="Times New Roman"/>
          <w:szCs w:val="20"/>
        </w:rPr>
        <w:t>by utilizing</w:t>
      </w:r>
      <w:r w:rsidRPr="00D82B86">
        <w:rPr>
          <w:rFonts w:ascii="Times New Roman" w:hAnsi="Times New Roman"/>
          <w:szCs w:val="20"/>
        </w:rPr>
        <w:t xml:space="preserve"> </w:t>
      </w:r>
      <w:r w:rsidRPr="00D82B86">
        <w:rPr>
          <w:rFonts w:ascii="Times New Roman" w:eastAsia="Cambria Math" w:hAnsi="Times New Roman"/>
          <w:szCs w:val="20"/>
        </w:rPr>
        <w:t xml:space="preserve">the cosine </w:t>
      </w:r>
      <w:r w:rsidR="003B0B12">
        <w:rPr>
          <w:rFonts w:ascii="Times New Roman" w:eastAsia="Cambria Math" w:hAnsi="Times New Roman"/>
          <w:szCs w:val="20"/>
        </w:rPr>
        <w:t>score</w:t>
      </w:r>
      <w:r w:rsidRPr="00D82B86">
        <w:rPr>
          <w:rFonts w:ascii="Times New Roman" w:hAnsi="Times New Roman"/>
          <w:szCs w:val="20"/>
        </w:rPr>
        <w:t xml:space="preserve"> as shown in </w:t>
      </w:r>
      <w:r w:rsidR="0057213E">
        <w:rPr>
          <w:rFonts w:ascii="Times New Roman" w:hAnsi="Times New Roman"/>
          <w:szCs w:val="20"/>
        </w:rPr>
        <w:t>E</w:t>
      </w:r>
      <w:r w:rsidRPr="00D82B86">
        <w:rPr>
          <w:rFonts w:ascii="Times New Roman" w:hAnsi="Times New Roman"/>
          <w:szCs w:val="20"/>
        </w:rPr>
        <w:t xml:space="preserve">quation </w:t>
      </w:r>
      <w:r w:rsidR="008309BB" w:rsidRPr="00D82B86">
        <w:rPr>
          <w:rFonts w:ascii="Times New Roman" w:hAnsi="Times New Roman"/>
          <w:szCs w:val="20"/>
        </w:rPr>
        <w:t>(</w:t>
      </w:r>
      <w:r w:rsidRPr="00D82B86">
        <w:rPr>
          <w:rFonts w:ascii="Times New Roman" w:hAnsi="Times New Roman"/>
          <w:szCs w:val="20"/>
        </w:rPr>
        <w:t>2</w:t>
      </w:r>
      <w:r w:rsidR="008309BB">
        <w:rPr>
          <w:rFonts w:ascii="Times New Roman" w:hAnsi="Times New Roman"/>
          <w:szCs w:val="20"/>
        </w:rPr>
        <w:t>)</w:t>
      </w:r>
      <w:r w:rsidRPr="00D82B86">
        <w:rPr>
          <w:rFonts w:ascii="Times New Roman" w:hAnsi="Times New Roman"/>
          <w:szCs w:val="20"/>
        </w:rPr>
        <w:t>.</w:t>
      </w:r>
    </w:p>
    <w:p w14:paraId="6D40FEDB" w14:textId="77777777" w:rsidR="0057213E" w:rsidRDefault="0057213E" w:rsidP="00584CD8">
      <w:pPr>
        <w:pStyle w:val="MDPI35textbeforelist"/>
        <w:ind w:left="0"/>
        <w:rPr>
          <w:rFonts w:ascii="Times New Roman" w:hAnsi="Times New Roman"/>
          <w:szCs w:val="20"/>
        </w:rPr>
      </w:pPr>
    </w:p>
    <w:tbl>
      <w:tblPr>
        <w:tblStyle w:val="TableGrid"/>
        <w:tblW w:w="0" w:type="auto"/>
        <w:tblLook w:val="04A0" w:firstRow="1" w:lastRow="0" w:firstColumn="1" w:lastColumn="0" w:noHBand="0" w:noVBand="1"/>
      </w:tblPr>
      <w:tblGrid>
        <w:gridCol w:w="8789"/>
        <w:gridCol w:w="561"/>
      </w:tblGrid>
      <w:tr w:rsidR="0057213E" w14:paraId="3A563890" w14:textId="77777777" w:rsidTr="00A8254A">
        <w:tc>
          <w:tcPr>
            <w:tcW w:w="8789" w:type="dxa"/>
            <w:tcBorders>
              <w:top w:val="nil"/>
              <w:left w:val="nil"/>
              <w:bottom w:val="nil"/>
              <w:right w:val="nil"/>
            </w:tcBorders>
          </w:tcPr>
          <w:p w14:paraId="448D2400" w14:textId="5A4B33A3" w:rsidR="0057213E" w:rsidRDefault="0057213E" w:rsidP="00A8254A">
            <w:pPr>
              <w:pStyle w:val="MDPI35textbeforelist"/>
              <w:ind w:left="0" w:firstLine="0"/>
              <w:rPr>
                <w:rFonts w:ascii="Times New Roman" w:hAnsi="Times New Roman"/>
                <w:szCs w:val="20"/>
              </w:rPr>
            </w:pPr>
            <m:oMathPara>
              <m:oMath>
                <m:r>
                  <w:rPr>
                    <w:rFonts w:ascii="Cambria Math" w:hAnsi="Cambria Math"/>
                    <w:szCs w:val="20"/>
                  </w:rPr>
                  <m:t>ε=</m:t>
                </m:r>
                <m:f>
                  <m:fPr>
                    <m:ctrlPr>
                      <w:rPr>
                        <w:rFonts w:ascii="Cambria Math" w:hAnsi="Cambria Math"/>
                        <w:i/>
                        <w:szCs w:val="20"/>
                      </w:rPr>
                    </m:ctrlPr>
                  </m:fPr>
                  <m:num>
                    <m:r>
                      <w:rPr>
                        <w:rFonts w:ascii="Cambria Math" w:hAnsi="Cambria Math"/>
                        <w:szCs w:val="20"/>
                      </w:rPr>
                      <m:t>cos θ</m:t>
                    </m:r>
                  </m:num>
                  <m:den>
                    <m:r>
                      <w:rPr>
                        <w:rFonts w:ascii="Cambria Math" w:hAnsi="Cambria Math"/>
                        <w:szCs w:val="20"/>
                      </w:rPr>
                      <m:t>τ</m:t>
                    </m:r>
                  </m:den>
                </m:f>
                <m:r>
                  <w:rPr>
                    <w:rFonts w:ascii="Cambria Math" w:hAnsi="Cambria Math"/>
                    <w:szCs w:val="20"/>
                  </w:rPr>
                  <m:t xml:space="preserve">            </m:t>
                </m:r>
              </m:oMath>
            </m:oMathPara>
          </w:p>
        </w:tc>
        <w:tc>
          <w:tcPr>
            <w:tcW w:w="561" w:type="dxa"/>
            <w:tcBorders>
              <w:top w:val="nil"/>
              <w:left w:val="nil"/>
              <w:bottom w:val="nil"/>
              <w:right w:val="nil"/>
            </w:tcBorders>
            <w:vAlign w:val="center"/>
          </w:tcPr>
          <w:p w14:paraId="75AAF3C1" w14:textId="18B11DED" w:rsidR="0057213E" w:rsidRDefault="0057213E" w:rsidP="00A8254A">
            <w:pPr>
              <w:pStyle w:val="MDPI35textbeforelist"/>
              <w:ind w:left="0" w:firstLine="0"/>
              <w:jc w:val="center"/>
              <w:rPr>
                <w:rFonts w:ascii="Times New Roman" w:hAnsi="Times New Roman"/>
                <w:szCs w:val="20"/>
              </w:rPr>
            </w:pPr>
            <w:r>
              <w:rPr>
                <w:rFonts w:ascii="Times New Roman" w:hAnsi="Times New Roman"/>
                <w:szCs w:val="20"/>
              </w:rPr>
              <w:t>(2)</w:t>
            </w:r>
          </w:p>
        </w:tc>
      </w:tr>
    </w:tbl>
    <w:p w14:paraId="47B7DF98" w14:textId="4AD6C687" w:rsidR="00584CD8" w:rsidRPr="00D82B86" w:rsidRDefault="00584CD8" w:rsidP="00584CD8">
      <w:pPr>
        <w:pStyle w:val="MDPI35textbeforelist"/>
        <w:ind w:left="0"/>
        <w:rPr>
          <w:rFonts w:ascii="Times New Roman" w:hAnsi="Times New Roman"/>
          <w:szCs w:val="20"/>
        </w:rPr>
      </w:pPr>
    </w:p>
    <w:p w14:paraId="7409B54A" w14:textId="2206C274" w:rsidR="00584CD8" w:rsidRPr="00D82B86" w:rsidRDefault="00584CD8" w:rsidP="00584CD8">
      <w:pPr>
        <w:pStyle w:val="MDPI35textbeforelist"/>
        <w:ind w:left="0"/>
        <w:rPr>
          <w:rFonts w:ascii="Times New Roman" w:hAnsi="Times New Roman"/>
          <w:szCs w:val="20"/>
        </w:rPr>
      </w:pPr>
      <w:r w:rsidRPr="00D82B86">
        <w:rPr>
          <w:rFonts w:ascii="Times New Roman" w:hAnsi="Times New Roman"/>
          <w:szCs w:val="20"/>
        </w:rPr>
        <w:t xml:space="preserve">where </w:t>
      </w:r>
      <m:oMath>
        <m:r>
          <w:rPr>
            <w:rFonts w:ascii="Cambria Math" w:hAnsi="Cambria Math"/>
            <w:szCs w:val="20"/>
          </w:rPr>
          <m:t>ε</m:t>
        </m:r>
      </m:oMath>
      <w:r w:rsidRPr="00D82B86">
        <w:rPr>
          <w:rFonts w:ascii="Times New Roman" w:hAnsi="Times New Roman"/>
          <w:szCs w:val="20"/>
        </w:rPr>
        <w:t xml:space="preserve"> is the logit </w:t>
      </w:r>
      <w:r w:rsidR="003B0B12">
        <w:rPr>
          <w:rFonts w:ascii="Times New Roman" w:hAnsi="Times New Roman"/>
          <w:szCs w:val="20"/>
        </w:rPr>
        <w:t>score</w:t>
      </w:r>
      <w:r w:rsidRPr="00D82B86">
        <w:rPr>
          <w:rFonts w:ascii="Times New Roman" w:hAnsi="Times New Roman"/>
          <w:szCs w:val="20"/>
        </w:rPr>
        <w:t xml:space="preserve">. </w:t>
      </w:r>
      <m:oMath>
        <m:r>
          <w:rPr>
            <w:rFonts w:ascii="Cambria Math" w:hAnsi="Cambria Math"/>
            <w:szCs w:val="20"/>
          </w:rPr>
          <m:t>τ</m:t>
        </m:r>
      </m:oMath>
      <w:r w:rsidRPr="00D82B86">
        <w:rPr>
          <w:rFonts w:ascii="Times New Roman" w:hAnsi="Times New Roman"/>
          <w:szCs w:val="20"/>
        </w:rPr>
        <w:t xml:space="preserve"> is the temperature coefficient value</w:t>
      </w:r>
      <w:r w:rsidR="003B0B12">
        <w:rPr>
          <w:rFonts w:ascii="Times New Roman" w:hAnsi="Times New Roman"/>
          <w:szCs w:val="20"/>
        </w:rPr>
        <w:t>, which is a</w:t>
      </w:r>
      <w:r w:rsidRPr="00D82B86">
        <w:rPr>
          <w:rFonts w:ascii="Times New Roman" w:hAnsi="Times New Roman"/>
          <w:szCs w:val="20"/>
        </w:rPr>
        <w:t xml:space="preserve"> hyperparameter</w:t>
      </w:r>
      <w:r w:rsidR="003B0B12">
        <w:rPr>
          <w:rFonts w:ascii="Times New Roman" w:hAnsi="Times New Roman"/>
          <w:szCs w:val="20"/>
        </w:rPr>
        <w:t xml:space="preserve"> and</w:t>
      </w:r>
      <w:r w:rsidRPr="00D82B86">
        <w:rPr>
          <w:rFonts w:ascii="Times New Roman" w:hAnsi="Times New Roman"/>
          <w:szCs w:val="20"/>
        </w:rPr>
        <w:t xml:space="preserve"> is experimented with a range of values from 0.1 to 1.0 to determine the best temperature coefficient value for the MLBCNN,</w:t>
      </w:r>
      <w:r w:rsidR="003B7F80" w:rsidRPr="00D82B86">
        <w:rPr>
          <w:rFonts w:ascii="Times New Roman" w:hAnsi="Times New Roman"/>
          <w:szCs w:val="20"/>
        </w:rPr>
        <w:t xml:space="preserve"> and</w:t>
      </w:r>
      <w:r w:rsidRPr="00D82B86">
        <w:rPr>
          <w:rFonts w:ascii="Times New Roman" w:hAnsi="Times New Roman"/>
          <w:szCs w:val="20"/>
        </w:rPr>
        <w:t xml:space="preserve"> the result is compiled in </w:t>
      </w:r>
      <w:r w:rsidR="008309BB">
        <w:rPr>
          <w:rFonts w:ascii="Times New Roman" w:hAnsi="Times New Roman"/>
          <w:szCs w:val="20"/>
        </w:rPr>
        <w:t>the Results and Discussion section</w:t>
      </w:r>
      <w:r w:rsidRPr="00D82B86">
        <w:rPr>
          <w:rFonts w:ascii="Times New Roman" w:hAnsi="Times New Roman"/>
          <w:szCs w:val="20"/>
        </w:rPr>
        <w:t xml:space="preserve">. </w:t>
      </w:r>
    </w:p>
    <w:p w14:paraId="337CC761" w14:textId="21103CA4" w:rsidR="00584CD8" w:rsidRDefault="003B0B12" w:rsidP="00584CD8">
      <w:pPr>
        <w:pStyle w:val="MDPI35textbeforelist"/>
        <w:ind w:left="0"/>
        <w:rPr>
          <w:rFonts w:ascii="Times New Roman" w:hAnsi="Times New Roman"/>
          <w:szCs w:val="20"/>
        </w:rPr>
      </w:pPr>
      <w:r>
        <w:rPr>
          <w:rFonts w:ascii="Times New Roman" w:hAnsi="Times New Roman"/>
          <w:szCs w:val="20"/>
        </w:rPr>
        <w:t>Next</w:t>
      </w:r>
      <w:r w:rsidR="00584CD8" w:rsidRPr="00D82B86">
        <w:rPr>
          <w:rFonts w:ascii="Times New Roman" w:hAnsi="Times New Roman"/>
          <w:szCs w:val="20"/>
        </w:rPr>
        <w:t xml:space="preserve">, the </w:t>
      </w:r>
      <w:r>
        <w:rPr>
          <w:rFonts w:ascii="Times New Roman" w:hAnsi="Times New Roman"/>
          <w:szCs w:val="20"/>
        </w:rPr>
        <w:t>computed</w:t>
      </w:r>
      <w:r w:rsidR="00584CD8" w:rsidRPr="00D82B86">
        <w:rPr>
          <w:rFonts w:ascii="Times New Roman" w:hAnsi="Times New Roman"/>
          <w:szCs w:val="20"/>
        </w:rPr>
        <w:t xml:space="preserve"> logit </w:t>
      </w:r>
      <w:r>
        <w:rPr>
          <w:rFonts w:ascii="Times New Roman" w:hAnsi="Times New Roman"/>
          <w:szCs w:val="20"/>
        </w:rPr>
        <w:t>scores</w:t>
      </w:r>
      <w:r w:rsidR="00584CD8" w:rsidRPr="00D82B86">
        <w:rPr>
          <w:rFonts w:ascii="Times New Roman" w:hAnsi="Times New Roman"/>
          <w:szCs w:val="20"/>
        </w:rPr>
        <w:t xml:space="preserve"> for</w:t>
      </w:r>
      <w:r>
        <w:rPr>
          <w:rFonts w:ascii="Times New Roman" w:hAnsi="Times New Roman"/>
          <w:szCs w:val="20"/>
        </w:rPr>
        <w:t xml:space="preserve"> the</w:t>
      </w:r>
      <w:r w:rsidR="00584CD8" w:rsidRPr="00D82B86">
        <w:rPr>
          <w:rFonts w:ascii="Times New Roman" w:hAnsi="Times New Roman"/>
          <w:szCs w:val="20"/>
        </w:rPr>
        <w:t xml:space="preserve"> </w:t>
      </w:r>
      <w:r>
        <w:rPr>
          <w:rFonts w:ascii="Times New Roman" w:hAnsi="Times New Roman"/>
          <w:szCs w:val="20"/>
        </w:rPr>
        <w:t>two</w:t>
      </w:r>
      <w:r w:rsidR="00584CD8" w:rsidRPr="00D82B86">
        <w:rPr>
          <w:rFonts w:ascii="Times New Roman" w:hAnsi="Times New Roman"/>
          <w:szCs w:val="20"/>
        </w:rPr>
        <w:t xml:space="preserve"> classes are </w:t>
      </w:r>
      <w:r>
        <w:rPr>
          <w:rFonts w:ascii="Times New Roman" w:hAnsi="Times New Roman"/>
          <w:szCs w:val="20"/>
        </w:rPr>
        <w:t>substituted</w:t>
      </w:r>
      <w:r w:rsidR="00584CD8" w:rsidRPr="00D82B86">
        <w:rPr>
          <w:rFonts w:ascii="Times New Roman" w:hAnsi="Times New Roman"/>
          <w:szCs w:val="20"/>
        </w:rPr>
        <w:t xml:space="preserve"> in</w:t>
      </w:r>
      <w:r>
        <w:rPr>
          <w:rFonts w:ascii="Times New Roman" w:hAnsi="Times New Roman"/>
          <w:szCs w:val="20"/>
        </w:rPr>
        <w:t>to</w:t>
      </w:r>
      <w:r w:rsidR="00584CD8" w:rsidRPr="00D82B86">
        <w:rPr>
          <w:rFonts w:ascii="Times New Roman" w:hAnsi="Times New Roman"/>
          <w:szCs w:val="20"/>
        </w:rPr>
        <w:t xml:space="preserve"> </w:t>
      </w:r>
      <w:r>
        <w:rPr>
          <w:rFonts w:ascii="Times New Roman" w:hAnsi="Times New Roman"/>
          <w:szCs w:val="20"/>
        </w:rPr>
        <w:t>the</w:t>
      </w:r>
      <w:r w:rsidR="00584CD8" w:rsidRPr="00D82B86">
        <w:rPr>
          <w:rFonts w:ascii="Times New Roman" w:hAnsi="Times New Roman"/>
          <w:szCs w:val="20"/>
        </w:rPr>
        <w:t xml:space="preserve"> SoftMax function </w:t>
      </w:r>
      <w:r>
        <w:rPr>
          <w:rFonts w:ascii="Times New Roman" w:hAnsi="Times New Roman"/>
          <w:szCs w:val="20"/>
        </w:rPr>
        <w:t>for</w:t>
      </w:r>
      <w:r w:rsidR="00584CD8" w:rsidRPr="00D82B86">
        <w:rPr>
          <w:rFonts w:ascii="Times New Roman" w:hAnsi="Times New Roman"/>
          <w:szCs w:val="20"/>
        </w:rPr>
        <w:t xml:space="preserve"> normalization </w:t>
      </w:r>
      <w:r>
        <w:rPr>
          <w:rFonts w:ascii="Times New Roman" w:hAnsi="Times New Roman"/>
          <w:szCs w:val="20"/>
        </w:rPr>
        <w:t xml:space="preserve">using </w:t>
      </w:r>
      <w:r w:rsidR="0057213E">
        <w:rPr>
          <w:rFonts w:ascii="Times New Roman" w:hAnsi="Times New Roman"/>
          <w:szCs w:val="20"/>
        </w:rPr>
        <w:t>E</w:t>
      </w:r>
      <w:r>
        <w:rPr>
          <w:rFonts w:ascii="Times New Roman" w:hAnsi="Times New Roman"/>
          <w:szCs w:val="20"/>
        </w:rPr>
        <w:t>quation</w:t>
      </w:r>
      <w:r w:rsidR="00584CD8" w:rsidRPr="00D82B86">
        <w:rPr>
          <w:rFonts w:ascii="Times New Roman" w:hAnsi="Times New Roman"/>
          <w:szCs w:val="20"/>
        </w:rPr>
        <w:t xml:space="preserve"> (3).</w:t>
      </w:r>
    </w:p>
    <w:p w14:paraId="5CA88CD0" w14:textId="77777777" w:rsidR="0057213E" w:rsidRDefault="0057213E" w:rsidP="00584CD8">
      <w:pPr>
        <w:pStyle w:val="MDPI35textbeforelist"/>
        <w:ind w:left="0"/>
        <w:rPr>
          <w:rFonts w:ascii="Times New Roman" w:hAnsi="Times New Roman"/>
          <w:szCs w:val="20"/>
        </w:rPr>
      </w:pPr>
    </w:p>
    <w:tbl>
      <w:tblPr>
        <w:tblStyle w:val="TableGrid"/>
        <w:tblW w:w="0" w:type="auto"/>
        <w:tblLook w:val="04A0" w:firstRow="1" w:lastRow="0" w:firstColumn="1" w:lastColumn="0" w:noHBand="0" w:noVBand="1"/>
      </w:tblPr>
      <w:tblGrid>
        <w:gridCol w:w="8789"/>
        <w:gridCol w:w="561"/>
      </w:tblGrid>
      <w:tr w:rsidR="0057213E" w14:paraId="166EBE83" w14:textId="77777777" w:rsidTr="00A8254A">
        <w:tc>
          <w:tcPr>
            <w:tcW w:w="8789" w:type="dxa"/>
            <w:tcBorders>
              <w:top w:val="nil"/>
              <w:left w:val="nil"/>
              <w:bottom w:val="nil"/>
              <w:right w:val="nil"/>
            </w:tcBorders>
          </w:tcPr>
          <w:p w14:paraId="736AF13C" w14:textId="395E4D34" w:rsidR="0057213E" w:rsidRDefault="0057213E" w:rsidP="00A8254A">
            <w:pPr>
              <w:pStyle w:val="MDPI35textbeforelist"/>
              <w:ind w:left="0" w:firstLine="0"/>
              <w:rPr>
                <w:rFonts w:ascii="Times New Roman" w:hAnsi="Times New Roman"/>
                <w:szCs w:val="20"/>
              </w:rPr>
            </w:pPr>
            <m:oMathPara>
              <m:oMath>
                <m:r>
                  <w:rPr>
                    <w:rFonts w:ascii="Cambria Math" w:hAnsi="Cambria Math"/>
                    <w:szCs w:val="20"/>
                  </w:rPr>
                  <m:t>f(</m:t>
                </m:r>
                <m:sSub>
                  <m:sSubPr>
                    <m:ctrlPr>
                      <w:rPr>
                        <w:rFonts w:ascii="Cambria Math" w:hAnsi="Cambria Math"/>
                        <w:i/>
                        <w:iCs/>
                        <w:szCs w:val="20"/>
                      </w:rPr>
                    </m:ctrlPr>
                  </m:sSubPr>
                  <m:e>
                    <m:r>
                      <w:rPr>
                        <w:rFonts w:ascii="Cambria Math" w:hAnsi="Cambria Math"/>
                        <w:szCs w:val="20"/>
                      </w:rPr>
                      <m:t>ε</m:t>
                    </m:r>
                  </m:e>
                  <m:sub>
                    <m:r>
                      <w:rPr>
                        <w:rFonts w:ascii="Cambria Math" w:hAnsi="Cambria Math"/>
                        <w:szCs w:val="20"/>
                      </w:rPr>
                      <m:t>i</m:t>
                    </m:r>
                  </m:sub>
                </m:sSub>
                <m:r>
                  <w:rPr>
                    <w:rFonts w:ascii="Cambria Math" w:hAnsi="Cambria Math"/>
                    <w:szCs w:val="20"/>
                  </w:rPr>
                  <m:t>)=</m:t>
                </m:r>
                <m:f>
                  <m:fPr>
                    <m:ctrlPr>
                      <w:rPr>
                        <w:rFonts w:ascii="Cambria Math" w:hAnsi="Cambria Math"/>
                        <w:i/>
                        <w:iCs/>
                        <w:szCs w:val="20"/>
                      </w:rPr>
                    </m:ctrlPr>
                  </m:fPr>
                  <m:num>
                    <m:sSup>
                      <m:sSupPr>
                        <m:ctrlPr>
                          <w:rPr>
                            <w:rFonts w:ascii="Cambria Math" w:hAnsi="Cambria Math"/>
                            <w:i/>
                            <w:iCs/>
                            <w:szCs w:val="20"/>
                          </w:rPr>
                        </m:ctrlPr>
                      </m:sSupPr>
                      <m:e>
                        <m:r>
                          <w:rPr>
                            <w:rFonts w:ascii="Cambria Math" w:hAnsi="Cambria Math"/>
                            <w:szCs w:val="20"/>
                          </w:rPr>
                          <m:t>e</m:t>
                        </m:r>
                      </m:e>
                      <m:sup>
                        <m:sSub>
                          <m:sSubPr>
                            <m:ctrlPr>
                              <w:rPr>
                                <w:rFonts w:ascii="Cambria Math" w:hAnsi="Cambria Math"/>
                                <w:i/>
                                <w:szCs w:val="20"/>
                              </w:rPr>
                            </m:ctrlPr>
                          </m:sSubPr>
                          <m:e>
                            <m:r>
                              <w:rPr>
                                <w:rFonts w:ascii="Cambria Math" w:hAnsi="Cambria Math"/>
                                <w:szCs w:val="20"/>
                              </w:rPr>
                              <m:t>ε</m:t>
                            </m:r>
                          </m:e>
                          <m:sub>
                            <m:r>
                              <w:rPr>
                                <w:rFonts w:ascii="Cambria Math" w:hAnsi="Cambria Math"/>
                                <w:szCs w:val="20"/>
                              </w:rPr>
                              <m:t>i</m:t>
                            </m:r>
                          </m:sub>
                        </m:sSub>
                      </m:sup>
                    </m:sSup>
                  </m:num>
                  <m:den>
                    <m:nary>
                      <m:naryPr>
                        <m:chr m:val="∑"/>
                        <m:limLoc m:val="undOvr"/>
                        <m:ctrlPr>
                          <w:rPr>
                            <w:rFonts w:ascii="Cambria Math" w:hAnsi="Cambria Math"/>
                            <w:i/>
                            <w:iCs/>
                            <w:szCs w:val="20"/>
                          </w:rPr>
                        </m:ctrlPr>
                      </m:naryPr>
                      <m:sub>
                        <m:r>
                          <w:rPr>
                            <w:rFonts w:ascii="Cambria Math" w:hAnsi="Cambria Math"/>
                            <w:szCs w:val="20"/>
                          </w:rPr>
                          <m:t>j=1</m:t>
                        </m:r>
                      </m:sub>
                      <m:sup>
                        <m:r>
                          <w:rPr>
                            <w:rFonts w:ascii="Cambria Math" w:hAnsi="Cambria Math"/>
                            <w:szCs w:val="20"/>
                          </w:rPr>
                          <m:t>n</m:t>
                        </m:r>
                      </m:sup>
                      <m:e>
                        <m:sSup>
                          <m:sSupPr>
                            <m:ctrlPr>
                              <w:rPr>
                                <w:rFonts w:ascii="Cambria Math" w:hAnsi="Cambria Math"/>
                                <w:i/>
                                <w:iCs/>
                                <w:szCs w:val="20"/>
                              </w:rPr>
                            </m:ctrlPr>
                          </m:sSupPr>
                          <m:e>
                            <m:r>
                              <w:rPr>
                                <w:rFonts w:ascii="Cambria Math" w:hAnsi="Cambria Math"/>
                                <w:szCs w:val="20"/>
                              </w:rPr>
                              <m:t>e</m:t>
                            </m:r>
                          </m:e>
                          <m:sup>
                            <m:sSub>
                              <m:sSubPr>
                                <m:ctrlPr>
                                  <w:rPr>
                                    <w:rFonts w:ascii="Cambria Math" w:hAnsi="Cambria Math"/>
                                    <w:i/>
                                    <w:iCs/>
                                    <w:szCs w:val="20"/>
                                  </w:rPr>
                                </m:ctrlPr>
                              </m:sSubPr>
                              <m:e>
                                <m:r>
                                  <w:rPr>
                                    <w:rFonts w:ascii="Cambria Math" w:hAnsi="Cambria Math"/>
                                    <w:szCs w:val="20"/>
                                  </w:rPr>
                                  <m:t>ε</m:t>
                                </m:r>
                              </m:e>
                              <m:sub>
                                <m:r>
                                  <w:rPr>
                                    <w:rFonts w:ascii="Cambria Math" w:hAnsi="Cambria Math"/>
                                    <w:szCs w:val="20"/>
                                  </w:rPr>
                                  <m:t>j</m:t>
                                </m:r>
                              </m:sub>
                            </m:sSub>
                          </m:sup>
                        </m:sSup>
                      </m:e>
                    </m:nary>
                  </m:den>
                </m:f>
              </m:oMath>
            </m:oMathPara>
          </w:p>
        </w:tc>
        <w:tc>
          <w:tcPr>
            <w:tcW w:w="561" w:type="dxa"/>
            <w:tcBorders>
              <w:top w:val="nil"/>
              <w:left w:val="nil"/>
              <w:bottom w:val="nil"/>
              <w:right w:val="nil"/>
            </w:tcBorders>
            <w:vAlign w:val="center"/>
          </w:tcPr>
          <w:p w14:paraId="68B582FB" w14:textId="7DF7CC27" w:rsidR="0057213E" w:rsidRDefault="0057213E" w:rsidP="00A8254A">
            <w:pPr>
              <w:pStyle w:val="MDPI35textbeforelist"/>
              <w:ind w:left="0" w:firstLine="0"/>
              <w:jc w:val="center"/>
              <w:rPr>
                <w:rFonts w:ascii="Times New Roman" w:hAnsi="Times New Roman"/>
                <w:szCs w:val="20"/>
              </w:rPr>
            </w:pPr>
            <w:r>
              <w:rPr>
                <w:rFonts w:ascii="Times New Roman" w:hAnsi="Times New Roman"/>
                <w:szCs w:val="20"/>
              </w:rPr>
              <w:t>(3)</w:t>
            </w:r>
          </w:p>
        </w:tc>
      </w:tr>
    </w:tbl>
    <w:p w14:paraId="584BD82E" w14:textId="77777777" w:rsidR="0057213E" w:rsidRDefault="0057213E" w:rsidP="00584CD8">
      <w:pPr>
        <w:pStyle w:val="MDPI35textbeforelist"/>
        <w:ind w:left="0"/>
        <w:rPr>
          <w:rFonts w:ascii="Times New Roman" w:hAnsi="Times New Roman"/>
          <w:szCs w:val="20"/>
        </w:rPr>
      </w:pPr>
    </w:p>
    <w:p w14:paraId="05763689" w14:textId="5E431ACB" w:rsidR="00584CD8" w:rsidRDefault="00584CD8" w:rsidP="00584CD8">
      <w:pPr>
        <w:pStyle w:val="MDPI35textbeforelist"/>
        <w:ind w:left="0"/>
        <w:rPr>
          <w:rFonts w:ascii="Times New Roman" w:hAnsi="Times New Roman"/>
          <w:szCs w:val="20"/>
        </w:rPr>
      </w:pPr>
      <w:r w:rsidRPr="00D82B86">
        <w:rPr>
          <w:rFonts w:ascii="Times New Roman" w:hAnsi="Times New Roman"/>
          <w:szCs w:val="20"/>
        </w:rPr>
        <w:t xml:space="preserve">where </w:t>
      </w:r>
      <m:oMath>
        <m:sSub>
          <m:sSubPr>
            <m:ctrlPr>
              <w:rPr>
                <w:rFonts w:ascii="Cambria Math" w:hAnsi="Cambria Math"/>
                <w:i/>
                <w:szCs w:val="20"/>
              </w:rPr>
            </m:ctrlPr>
          </m:sSubPr>
          <m:e>
            <m:r>
              <w:rPr>
                <w:rFonts w:ascii="Cambria Math" w:hAnsi="Cambria Math"/>
                <w:szCs w:val="20"/>
              </w:rPr>
              <m:t>ε</m:t>
            </m:r>
          </m:e>
          <m:sub>
            <m:r>
              <w:rPr>
                <w:rFonts w:ascii="Cambria Math" w:hAnsi="Cambria Math"/>
                <w:szCs w:val="20"/>
              </w:rPr>
              <m:t>i</m:t>
            </m:r>
          </m:sub>
        </m:sSub>
      </m:oMath>
      <w:r w:rsidRPr="00D82B86">
        <w:rPr>
          <w:rFonts w:ascii="Times New Roman" w:hAnsi="Times New Roman"/>
          <w:szCs w:val="20"/>
        </w:rPr>
        <w:t xml:space="preserve"> is the input logit </w:t>
      </w:r>
      <w:r w:rsidR="003B0B12">
        <w:rPr>
          <w:rFonts w:ascii="Times New Roman" w:hAnsi="Times New Roman"/>
          <w:szCs w:val="20"/>
        </w:rPr>
        <w:t>scores</w:t>
      </w:r>
      <w:r w:rsidRPr="00D82B86">
        <w:rPr>
          <w:rFonts w:ascii="Times New Roman" w:hAnsi="Times New Roman"/>
          <w:szCs w:val="20"/>
        </w:rPr>
        <w:t xml:space="preserve"> for class </w:t>
      </w:r>
      <w:r w:rsidRPr="00D82B86">
        <w:rPr>
          <w:rFonts w:ascii="Times New Roman" w:hAnsi="Times New Roman"/>
          <w:i/>
          <w:iCs/>
          <w:szCs w:val="20"/>
        </w:rPr>
        <w:t>i</w:t>
      </w:r>
      <w:r w:rsidRPr="00D82B86">
        <w:rPr>
          <w:rFonts w:ascii="Times New Roman" w:hAnsi="Times New Roman"/>
          <w:szCs w:val="20"/>
        </w:rPr>
        <w:t xml:space="preserve">=1,2. </w:t>
      </w:r>
      <w:r w:rsidR="003B0B12" w:rsidRPr="003B0B12">
        <w:rPr>
          <w:rFonts w:ascii="Times New Roman" w:hAnsi="Times New Roman"/>
          <w:szCs w:val="20"/>
        </w:rPr>
        <w:t xml:space="preserve">The value n=2 corresponds to the binary classification scenario </w:t>
      </w:r>
      <w:r w:rsidRPr="00D82B86">
        <w:rPr>
          <w:rFonts w:ascii="Times New Roman" w:hAnsi="Times New Roman"/>
          <w:szCs w:val="20"/>
        </w:rPr>
        <w:t xml:space="preserve">(seizure and </w:t>
      </w:r>
      <w:r w:rsidR="003B0B12">
        <w:rPr>
          <w:rFonts w:ascii="Times New Roman" w:hAnsi="Times New Roman"/>
          <w:szCs w:val="20"/>
        </w:rPr>
        <w:t>healthy classes</w:t>
      </w:r>
      <w:r w:rsidRPr="00D82B86">
        <w:rPr>
          <w:rFonts w:ascii="Times New Roman" w:hAnsi="Times New Roman"/>
          <w:szCs w:val="20"/>
        </w:rPr>
        <w:t xml:space="preserve">). </w:t>
      </w:r>
      <w:r w:rsidR="003B0B12" w:rsidRPr="003B0B12">
        <w:rPr>
          <w:rFonts w:ascii="Times New Roman" w:hAnsi="Times New Roman"/>
          <w:szCs w:val="20"/>
        </w:rPr>
        <w:t>In traditional methods, the logit scores represent the numerical outputs produced by the CNN's final layer for the true class</w:t>
      </w:r>
      <w:r w:rsidRPr="00D82B86">
        <w:rPr>
          <w:rFonts w:ascii="Times New Roman" w:hAnsi="Times New Roman"/>
          <w:szCs w:val="20"/>
        </w:rPr>
        <w:t xml:space="preserve">. </w:t>
      </w:r>
      <w:r w:rsidR="003B0B12">
        <w:rPr>
          <w:rFonts w:ascii="Times New Roman" w:hAnsi="Times New Roman"/>
          <w:szCs w:val="20"/>
        </w:rPr>
        <w:t>The logit scores are then utilized together with the</w:t>
      </w:r>
      <w:r w:rsidRPr="00D82B86">
        <w:rPr>
          <w:rFonts w:ascii="Times New Roman" w:hAnsi="Times New Roman"/>
          <w:szCs w:val="20"/>
        </w:rPr>
        <w:t xml:space="preserve"> SoftMax function </w:t>
      </w:r>
      <w:r w:rsidR="003B0B12">
        <w:rPr>
          <w:rFonts w:ascii="Times New Roman" w:hAnsi="Times New Roman"/>
          <w:szCs w:val="20"/>
        </w:rPr>
        <w:t>for computing the probability</w:t>
      </w:r>
      <w:r w:rsidRPr="00D82B86">
        <w:rPr>
          <w:rFonts w:ascii="Times New Roman" w:hAnsi="Times New Roman"/>
          <w:szCs w:val="20"/>
        </w:rPr>
        <w:t xml:space="preserve"> of </w:t>
      </w:r>
      <w:r w:rsidR="003B0B12">
        <w:rPr>
          <w:rFonts w:ascii="Times New Roman" w:hAnsi="Times New Roman"/>
          <w:szCs w:val="20"/>
        </w:rPr>
        <w:t>the respective</w:t>
      </w:r>
      <w:r w:rsidRPr="00D82B86">
        <w:rPr>
          <w:rFonts w:ascii="Times New Roman" w:hAnsi="Times New Roman"/>
          <w:szCs w:val="20"/>
        </w:rPr>
        <w:t xml:space="preserve"> </w:t>
      </w:r>
      <w:r w:rsidR="003B0B12">
        <w:rPr>
          <w:rFonts w:ascii="Times New Roman" w:hAnsi="Times New Roman"/>
          <w:szCs w:val="20"/>
        </w:rPr>
        <w:t>class</w:t>
      </w:r>
      <w:r w:rsidRPr="00D82B86">
        <w:rPr>
          <w:rFonts w:ascii="Times New Roman" w:hAnsi="Times New Roman"/>
          <w:szCs w:val="20"/>
        </w:rPr>
        <w:t xml:space="preserve">. </w:t>
      </w:r>
      <w:r w:rsidR="00720F48">
        <w:rPr>
          <w:rFonts w:ascii="Times New Roman" w:hAnsi="Times New Roman"/>
          <w:szCs w:val="20"/>
        </w:rPr>
        <w:t>Then</w:t>
      </w:r>
      <w:r w:rsidRPr="00D82B86">
        <w:rPr>
          <w:rFonts w:ascii="Times New Roman" w:hAnsi="Times New Roman"/>
          <w:szCs w:val="20"/>
        </w:rPr>
        <w:t xml:space="preserve">, the </w:t>
      </w:r>
      <w:r w:rsidR="00720F48">
        <w:rPr>
          <w:rFonts w:ascii="Times New Roman" w:hAnsi="Times New Roman"/>
          <w:szCs w:val="20"/>
        </w:rPr>
        <w:t>computed</w:t>
      </w:r>
      <w:r w:rsidRPr="00D82B86">
        <w:rPr>
          <w:rFonts w:ascii="Times New Roman" w:hAnsi="Times New Roman"/>
          <w:szCs w:val="20"/>
        </w:rPr>
        <w:t xml:space="preserve"> SoftMax value is </w:t>
      </w:r>
      <w:r w:rsidR="00720F48">
        <w:rPr>
          <w:rFonts w:ascii="Times New Roman" w:hAnsi="Times New Roman"/>
          <w:szCs w:val="20"/>
        </w:rPr>
        <w:t>applied</w:t>
      </w:r>
      <w:r w:rsidRPr="00D82B86">
        <w:rPr>
          <w:rFonts w:ascii="Times New Roman" w:hAnsi="Times New Roman"/>
          <w:szCs w:val="20"/>
        </w:rPr>
        <w:t xml:space="preserve"> to </w:t>
      </w:r>
      <w:r w:rsidR="00720F48">
        <w:rPr>
          <w:rFonts w:ascii="Times New Roman" w:hAnsi="Times New Roman"/>
          <w:szCs w:val="20"/>
        </w:rPr>
        <w:t>calculate</w:t>
      </w:r>
      <w:r w:rsidRPr="00D82B86">
        <w:rPr>
          <w:rFonts w:ascii="Times New Roman" w:hAnsi="Times New Roman"/>
          <w:szCs w:val="20"/>
        </w:rPr>
        <w:t xml:space="preserve"> the cross-entropy loss in </w:t>
      </w:r>
      <w:r w:rsidR="0057213E">
        <w:rPr>
          <w:rFonts w:ascii="Times New Roman" w:hAnsi="Times New Roman"/>
          <w:szCs w:val="20"/>
        </w:rPr>
        <w:t>E</w:t>
      </w:r>
      <w:r w:rsidRPr="00D82B86">
        <w:rPr>
          <w:rFonts w:ascii="Times New Roman" w:hAnsi="Times New Roman"/>
          <w:szCs w:val="20"/>
        </w:rPr>
        <w:t>quation (4).</w:t>
      </w:r>
    </w:p>
    <w:p w14:paraId="3A4AE26D" w14:textId="77777777" w:rsidR="0057213E" w:rsidRDefault="0057213E" w:rsidP="00584CD8">
      <w:pPr>
        <w:pStyle w:val="MDPI35textbeforelist"/>
        <w:ind w:left="0"/>
        <w:rPr>
          <w:rFonts w:ascii="Times New Roman" w:hAnsi="Times New Roman"/>
          <w:szCs w:val="20"/>
        </w:rPr>
      </w:pPr>
    </w:p>
    <w:tbl>
      <w:tblPr>
        <w:tblStyle w:val="TableGrid"/>
        <w:tblW w:w="0" w:type="auto"/>
        <w:tblLook w:val="04A0" w:firstRow="1" w:lastRow="0" w:firstColumn="1" w:lastColumn="0" w:noHBand="0" w:noVBand="1"/>
      </w:tblPr>
      <w:tblGrid>
        <w:gridCol w:w="8789"/>
        <w:gridCol w:w="561"/>
      </w:tblGrid>
      <w:tr w:rsidR="0057213E" w14:paraId="6B182007" w14:textId="77777777" w:rsidTr="00A8254A">
        <w:tc>
          <w:tcPr>
            <w:tcW w:w="8789" w:type="dxa"/>
            <w:tcBorders>
              <w:top w:val="nil"/>
              <w:left w:val="nil"/>
              <w:bottom w:val="nil"/>
              <w:right w:val="nil"/>
            </w:tcBorders>
          </w:tcPr>
          <w:p w14:paraId="7271B34C" w14:textId="27B58C19" w:rsidR="0057213E" w:rsidRDefault="00000000" w:rsidP="00A8254A">
            <w:pPr>
              <w:pStyle w:val="MDPI35textbeforelist"/>
              <w:ind w:left="0" w:firstLine="0"/>
              <w:rPr>
                <w:rFonts w:ascii="Times New Roman" w:hAnsi="Times New Roman"/>
                <w:szCs w:val="20"/>
              </w:rPr>
            </w:pPr>
            <m:oMathPara>
              <m:oMath>
                <m:sSub>
                  <m:sSubPr>
                    <m:ctrlPr>
                      <w:rPr>
                        <w:rFonts w:ascii="Cambria Math" w:hAnsi="Cambria Math"/>
                        <w:i/>
                        <w:szCs w:val="20"/>
                      </w:rPr>
                    </m:ctrlPr>
                  </m:sSubPr>
                  <m:e>
                    <m:r>
                      <w:rPr>
                        <w:rFonts w:ascii="Cambria Math" w:hAnsi="Cambria Math"/>
                        <w:szCs w:val="20"/>
                      </w:rPr>
                      <m:t>CE</m:t>
                    </m:r>
                  </m:e>
                  <m:sub>
                    <m:r>
                      <w:rPr>
                        <w:rFonts w:ascii="Cambria Math" w:hAnsi="Cambria Math"/>
                        <w:szCs w:val="20"/>
                      </w:rPr>
                      <m:t>i</m:t>
                    </m:r>
                  </m:sub>
                </m:sSub>
                <m:r>
                  <w:rPr>
                    <w:rFonts w:ascii="Cambria Math" w:hAnsi="Cambria Math"/>
                    <w:szCs w:val="20"/>
                  </w:rPr>
                  <m:t>=-</m:t>
                </m:r>
                <m:nary>
                  <m:naryPr>
                    <m:chr m:val="∑"/>
                    <m:supHide m:val="1"/>
                    <m:ctrlPr>
                      <w:rPr>
                        <w:rFonts w:ascii="Cambria Math" w:hAnsi="Cambria Math"/>
                        <w:i/>
                        <w:iCs/>
                        <w:szCs w:val="20"/>
                      </w:rPr>
                    </m:ctrlPr>
                  </m:naryPr>
                  <m:sub>
                    <m:r>
                      <w:rPr>
                        <w:rFonts w:ascii="Cambria Math" w:hAnsi="Cambria Math"/>
                        <w:szCs w:val="20"/>
                      </w:rPr>
                      <m:t>i</m:t>
                    </m:r>
                  </m:sub>
                  <m:sup/>
                  <m:e>
                    <m:sSub>
                      <m:sSubPr>
                        <m:ctrlPr>
                          <w:rPr>
                            <w:rFonts w:ascii="Cambria Math" w:hAnsi="Cambria Math"/>
                            <w:i/>
                            <w:iCs/>
                            <w:szCs w:val="20"/>
                          </w:rPr>
                        </m:ctrlPr>
                      </m:sSubPr>
                      <m:e>
                        <m:r>
                          <w:rPr>
                            <w:rFonts w:ascii="Cambria Math" w:hAnsi="Cambria Math"/>
                            <w:szCs w:val="20"/>
                          </w:rPr>
                          <m:t>t</m:t>
                        </m:r>
                      </m:e>
                      <m:sub>
                        <m:r>
                          <w:rPr>
                            <w:rFonts w:ascii="Cambria Math" w:hAnsi="Cambria Math"/>
                            <w:szCs w:val="20"/>
                          </w:rPr>
                          <m:t>i</m:t>
                        </m:r>
                      </m:sub>
                    </m:sSub>
                    <m:r>
                      <w:rPr>
                        <w:rFonts w:ascii="Cambria Math" w:hAnsi="Cambria Math"/>
                        <w:szCs w:val="20"/>
                      </w:rPr>
                      <m:t>log⁡(f</m:t>
                    </m:r>
                    <m:d>
                      <m:dPr>
                        <m:ctrlPr>
                          <w:rPr>
                            <w:rFonts w:ascii="Cambria Math" w:hAnsi="Cambria Math"/>
                            <w:i/>
                            <w:iCs/>
                            <w:szCs w:val="20"/>
                          </w:rPr>
                        </m:ctrlPr>
                      </m:dPr>
                      <m:e>
                        <m:sSub>
                          <m:sSubPr>
                            <m:ctrlPr>
                              <w:rPr>
                                <w:rFonts w:ascii="Cambria Math" w:hAnsi="Cambria Math"/>
                                <w:i/>
                                <w:szCs w:val="20"/>
                              </w:rPr>
                            </m:ctrlPr>
                          </m:sSubPr>
                          <m:e>
                            <m:r>
                              <w:rPr>
                                <w:rFonts w:ascii="Cambria Math" w:hAnsi="Cambria Math"/>
                                <w:szCs w:val="20"/>
                              </w:rPr>
                              <m:t>ε</m:t>
                            </m:r>
                          </m:e>
                          <m:sub>
                            <m:r>
                              <w:rPr>
                                <w:rFonts w:ascii="Cambria Math" w:hAnsi="Cambria Math"/>
                                <w:szCs w:val="20"/>
                              </w:rPr>
                              <m:t>i</m:t>
                            </m:r>
                          </m:sub>
                        </m:sSub>
                      </m:e>
                    </m:d>
                    <m:r>
                      <w:rPr>
                        <w:rFonts w:ascii="Cambria Math" w:hAnsi="Cambria Math"/>
                        <w:szCs w:val="20"/>
                      </w:rPr>
                      <m:t>)</m:t>
                    </m:r>
                  </m:e>
                </m:nary>
              </m:oMath>
            </m:oMathPara>
          </w:p>
        </w:tc>
        <w:tc>
          <w:tcPr>
            <w:tcW w:w="561" w:type="dxa"/>
            <w:tcBorders>
              <w:top w:val="nil"/>
              <w:left w:val="nil"/>
              <w:bottom w:val="nil"/>
              <w:right w:val="nil"/>
            </w:tcBorders>
            <w:vAlign w:val="center"/>
          </w:tcPr>
          <w:p w14:paraId="0EF86A71" w14:textId="2FBA7331" w:rsidR="0057213E" w:rsidRDefault="0057213E" w:rsidP="00A8254A">
            <w:pPr>
              <w:pStyle w:val="MDPI35textbeforelist"/>
              <w:ind w:left="0" w:firstLine="0"/>
              <w:jc w:val="center"/>
              <w:rPr>
                <w:rFonts w:ascii="Times New Roman" w:hAnsi="Times New Roman"/>
                <w:szCs w:val="20"/>
              </w:rPr>
            </w:pPr>
            <w:r>
              <w:rPr>
                <w:rFonts w:ascii="Times New Roman" w:hAnsi="Times New Roman"/>
                <w:szCs w:val="20"/>
              </w:rPr>
              <w:t>(4)</w:t>
            </w:r>
          </w:p>
        </w:tc>
      </w:tr>
    </w:tbl>
    <w:p w14:paraId="73743515" w14:textId="77777777" w:rsidR="0057213E" w:rsidRPr="00D82B86" w:rsidRDefault="0057213E" w:rsidP="00584CD8">
      <w:pPr>
        <w:pStyle w:val="MDPI35textbeforelist"/>
        <w:ind w:left="0"/>
        <w:rPr>
          <w:rFonts w:ascii="Times New Roman" w:hAnsi="Times New Roman"/>
          <w:szCs w:val="20"/>
        </w:rPr>
      </w:pPr>
    </w:p>
    <w:p w14:paraId="3BD5F760" w14:textId="258F6907" w:rsidR="00584CD8" w:rsidRDefault="00584CD8" w:rsidP="00584CD8">
      <w:pPr>
        <w:pStyle w:val="MDPI35textbeforelist"/>
        <w:ind w:left="0"/>
        <w:rPr>
          <w:rFonts w:ascii="Times New Roman" w:hAnsi="Times New Roman"/>
          <w:szCs w:val="20"/>
        </w:rPr>
      </w:pPr>
      <w:r w:rsidRPr="00D82B86">
        <w:rPr>
          <w:rFonts w:ascii="Times New Roman" w:hAnsi="Times New Roman"/>
          <w:szCs w:val="20"/>
        </w:rPr>
        <w:lastRenderedPageBreak/>
        <w:t xml:space="preserve">where </w:t>
      </w:r>
      <m:oMath>
        <m:sSub>
          <m:sSubPr>
            <m:ctrlPr>
              <w:rPr>
                <w:rFonts w:ascii="Cambria Math" w:hAnsi="Cambria Math"/>
                <w:i/>
                <w:szCs w:val="20"/>
              </w:rPr>
            </m:ctrlPr>
          </m:sSubPr>
          <m:e>
            <m:r>
              <w:rPr>
                <w:rFonts w:ascii="Cambria Math" w:hAnsi="Cambria Math"/>
                <w:szCs w:val="20"/>
              </w:rPr>
              <m:t>CE</m:t>
            </m:r>
          </m:e>
          <m:sub>
            <m:r>
              <w:rPr>
                <w:rFonts w:ascii="Cambria Math" w:hAnsi="Cambria Math"/>
                <w:szCs w:val="20"/>
              </w:rPr>
              <m:t>i</m:t>
            </m:r>
          </m:sub>
        </m:sSub>
      </m:oMath>
      <w:r w:rsidRPr="00D82B86">
        <w:rPr>
          <w:rFonts w:ascii="Times New Roman" w:hAnsi="Times New Roman"/>
          <w:szCs w:val="20"/>
        </w:rPr>
        <w:t xml:space="preserve"> is the cross-entropy loss, </w:t>
      </w:r>
      <w:r w:rsidRPr="00D82B86">
        <w:rPr>
          <w:rFonts w:ascii="Times New Roman" w:hAnsi="Times New Roman"/>
          <w:i/>
          <w:iCs/>
          <w:szCs w:val="20"/>
        </w:rPr>
        <w:t>t</w:t>
      </w:r>
      <w:r w:rsidRPr="00D82B86">
        <w:rPr>
          <w:rFonts w:ascii="Times New Roman" w:hAnsi="Times New Roman"/>
          <w:szCs w:val="20"/>
        </w:rPr>
        <w:t xml:space="preserve"> is the </w:t>
      </w:r>
      <w:r w:rsidR="00720F48">
        <w:rPr>
          <w:rFonts w:ascii="Times New Roman" w:hAnsi="Times New Roman"/>
          <w:szCs w:val="20"/>
        </w:rPr>
        <w:t>labelled</w:t>
      </w:r>
      <w:r w:rsidRPr="00D82B86">
        <w:rPr>
          <w:rFonts w:ascii="Times New Roman" w:hAnsi="Times New Roman"/>
          <w:szCs w:val="20"/>
        </w:rPr>
        <w:t xml:space="preserve"> value, </w:t>
      </w:r>
      <w:r w:rsidRPr="00D82B86">
        <w:rPr>
          <w:rFonts w:ascii="Times New Roman" w:hAnsi="Times New Roman"/>
          <w:i/>
          <w:iCs/>
          <w:szCs w:val="20"/>
        </w:rPr>
        <w:t>i</w:t>
      </w:r>
      <w:r w:rsidRPr="00D82B86">
        <w:rPr>
          <w:rFonts w:ascii="Times New Roman" w:hAnsi="Times New Roman"/>
          <w:szCs w:val="20"/>
        </w:rPr>
        <w:t xml:space="preserve"> = 0,1 for </w:t>
      </w:r>
      <w:r w:rsidR="00720F48">
        <w:rPr>
          <w:rFonts w:ascii="Times New Roman" w:hAnsi="Times New Roman"/>
          <w:szCs w:val="20"/>
        </w:rPr>
        <w:t>healthy and seizure</w:t>
      </w:r>
      <w:r w:rsidRPr="00D82B86">
        <w:rPr>
          <w:rFonts w:ascii="Times New Roman" w:hAnsi="Times New Roman"/>
          <w:szCs w:val="20"/>
        </w:rPr>
        <w:t xml:space="preserve"> classes. </w:t>
      </w:r>
      <w:r w:rsidR="00720F48">
        <w:rPr>
          <w:rFonts w:ascii="Times New Roman" w:hAnsi="Times New Roman"/>
          <w:szCs w:val="20"/>
        </w:rPr>
        <w:t>Next</w:t>
      </w:r>
      <w:r w:rsidRPr="00D82B86">
        <w:rPr>
          <w:rFonts w:ascii="Times New Roman" w:hAnsi="Times New Roman"/>
          <w:szCs w:val="20"/>
        </w:rPr>
        <w:t xml:space="preserve">, the </w:t>
      </w:r>
      <w:r w:rsidR="00720F48">
        <w:rPr>
          <w:rFonts w:ascii="Times New Roman" w:hAnsi="Times New Roman"/>
          <w:szCs w:val="20"/>
        </w:rPr>
        <w:t>derivative</w:t>
      </w:r>
      <w:r w:rsidRPr="00D82B86">
        <w:rPr>
          <w:rFonts w:ascii="Times New Roman" w:hAnsi="Times New Roman"/>
          <w:szCs w:val="20"/>
        </w:rPr>
        <w:t xml:space="preserve"> value is </w:t>
      </w:r>
      <w:r w:rsidR="00720F48">
        <w:rPr>
          <w:rFonts w:ascii="Times New Roman" w:hAnsi="Times New Roman"/>
          <w:szCs w:val="20"/>
        </w:rPr>
        <w:t>calculated</w:t>
      </w:r>
      <w:r w:rsidRPr="00D82B86">
        <w:rPr>
          <w:rFonts w:ascii="Times New Roman" w:hAnsi="Times New Roman"/>
          <w:szCs w:val="20"/>
        </w:rPr>
        <w:t xml:space="preserve"> using (5).</w:t>
      </w:r>
    </w:p>
    <w:p w14:paraId="6A368C0E" w14:textId="77777777" w:rsidR="0057213E" w:rsidRDefault="0057213E" w:rsidP="00584CD8">
      <w:pPr>
        <w:pStyle w:val="MDPI35textbeforelist"/>
        <w:ind w:left="0"/>
        <w:rPr>
          <w:rFonts w:ascii="Times New Roman" w:hAnsi="Times New Roman"/>
          <w:szCs w:val="20"/>
        </w:rPr>
      </w:pPr>
    </w:p>
    <w:tbl>
      <w:tblPr>
        <w:tblStyle w:val="TableGrid"/>
        <w:tblW w:w="0" w:type="auto"/>
        <w:tblLook w:val="04A0" w:firstRow="1" w:lastRow="0" w:firstColumn="1" w:lastColumn="0" w:noHBand="0" w:noVBand="1"/>
      </w:tblPr>
      <w:tblGrid>
        <w:gridCol w:w="8789"/>
        <w:gridCol w:w="561"/>
      </w:tblGrid>
      <w:tr w:rsidR="0057213E" w14:paraId="4F8CCA77" w14:textId="77777777" w:rsidTr="00A8254A">
        <w:tc>
          <w:tcPr>
            <w:tcW w:w="8789" w:type="dxa"/>
            <w:tcBorders>
              <w:top w:val="nil"/>
              <w:left w:val="nil"/>
              <w:bottom w:val="nil"/>
              <w:right w:val="nil"/>
            </w:tcBorders>
          </w:tcPr>
          <w:p w14:paraId="3A877815" w14:textId="4F8EFE25" w:rsidR="0057213E" w:rsidRDefault="0057213E" w:rsidP="00A8254A">
            <w:pPr>
              <w:pStyle w:val="MDPI35textbeforelist"/>
              <w:ind w:left="0" w:firstLine="0"/>
              <w:rPr>
                <w:rFonts w:ascii="Times New Roman" w:hAnsi="Times New Roman"/>
                <w:szCs w:val="20"/>
              </w:rPr>
            </w:pPr>
            <m:oMathPara>
              <m:oMath>
                <m:r>
                  <w:rPr>
                    <w:rFonts w:ascii="Cambria Math" w:hAnsi="Cambria Math"/>
                    <w:szCs w:val="20"/>
                  </w:rPr>
                  <m:t>∇=-</m:t>
                </m:r>
                <m:nary>
                  <m:naryPr>
                    <m:chr m:val="∑"/>
                    <m:supHide m:val="1"/>
                    <m:ctrlPr>
                      <w:rPr>
                        <w:rFonts w:ascii="Cambria Math" w:hAnsi="Cambria Math"/>
                        <w:i/>
                        <w:iCs/>
                        <w:szCs w:val="20"/>
                      </w:rPr>
                    </m:ctrlPr>
                  </m:naryPr>
                  <m:sub>
                    <m:r>
                      <w:rPr>
                        <w:rFonts w:ascii="Cambria Math" w:hAnsi="Cambria Math"/>
                        <w:szCs w:val="20"/>
                      </w:rPr>
                      <m:t>i</m:t>
                    </m:r>
                  </m:sub>
                  <m:sup/>
                  <m:e>
                    <m:sSub>
                      <m:sSubPr>
                        <m:ctrlPr>
                          <w:rPr>
                            <w:rFonts w:ascii="Cambria Math" w:hAnsi="Cambria Math"/>
                            <w:i/>
                            <w:iCs/>
                            <w:szCs w:val="20"/>
                          </w:rPr>
                        </m:ctrlPr>
                      </m:sSubPr>
                      <m:e>
                        <m:r>
                          <w:rPr>
                            <w:rFonts w:ascii="Cambria Math" w:hAnsi="Cambria Math"/>
                            <w:szCs w:val="20"/>
                          </w:rPr>
                          <m:t>t</m:t>
                        </m:r>
                      </m:e>
                      <m:sub>
                        <m:r>
                          <w:rPr>
                            <w:rFonts w:ascii="Cambria Math" w:hAnsi="Cambria Math"/>
                            <w:szCs w:val="20"/>
                          </w:rPr>
                          <m:t>i</m:t>
                        </m:r>
                      </m:sub>
                    </m:sSub>
                    <m:f>
                      <m:fPr>
                        <m:ctrlPr>
                          <w:rPr>
                            <w:rFonts w:ascii="Cambria Math" w:hAnsi="Cambria Math"/>
                            <w:i/>
                            <w:iCs/>
                            <w:szCs w:val="20"/>
                          </w:rPr>
                        </m:ctrlPr>
                      </m:fPr>
                      <m:num>
                        <m:r>
                          <w:rPr>
                            <w:rFonts w:ascii="Cambria Math" w:hAnsi="Cambria Math"/>
                            <w:szCs w:val="20"/>
                            <w:lang w:val="el-GR"/>
                          </w:rPr>
                          <m:t>δ</m:t>
                        </m:r>
                        <m:r>
                          <w:rPr>
                            <w:rFonts w:ascii="Cambria Math" w:hAnsi="Cambria Math"/>
                            <w:szCs w:val="20"/>
                          </w:rPr>
                          <m:t>log⁡(f</m:t>
                        </m:r>
                        <m:d>
                          <m:dPr>
                            <m:ctrlPr>
                              <w:rPr>
                                <w:rFonts w:ascii="Cambria Math" w:hAnsi="Cambria Math"/>
                                <w:i/>
                                <w:iCs/>
                                <w:szCs w:val="20"/>
                              </w:rPr>
                            </m:ctrlPr>
                          </m:dPr>
                          <m:e>
                            <m:r>
                              <w:rPr>
                                <w:rFonts w:ascii="Cambria Math" w:hAnsi="Cambria Math"/>
                                <w:szCs w:val="20"/>
                              </w:rPr>
                              <m:t>ϵ</m:t>
                            </m:r>
                          </m:e>
                        </m:d>
                        <m:r>
                          <w:rPr>
                            <w:rFonts w:ascii="Cambria Math" w:hAnsi="Cambria Math"/>
                            <w:szCs w:val="20"/>
                          </w:rPr>
                          <m:t>)</m:t>
                        </m:r>
                      </m:num>
                      <m:den>
                        <m:r>
                          <w:rPr>
                            <w:rFonts w:ascii="Cambria Math" w:hAnsi="Cambria Math"/>
                            <w:szCs w:val="20"/>
                          </w:rPr>
                          <m:t>δ</m:t>
                        </m:r>
                        <m:sSub>
                          <m:sSubPr>
                            <m:ctrlPr>
                              <w:rPr>
                                <w:rFonts w:ascii="Cambria Math" w:hAnsi="Cambria Math"/>
                                <w:i/>
                                <w:iCs/>
                                <w:szCs w:val="20"/>
                              </w:rPr>
                            </m:ctrlPr>
                          </m:sSubPr>
                          <m:e>
                            <m:r>
                              <w:rPr>
                                <w:rFonts w:ascii="Cambria Math" w:hAnsi="Cambria Math"/>
                                <w:szCs w:val="20"/>
                              </w:rPr>
                              <m:t>o</m:t>
                            </m:r>
                          </m:e>
                          <m:sub>
                            <m:r>
                              <w:rPr>
                                <w:rFonts w:ascii="Cambria Math" w:hAnsi="Cambria Math"/>
                                <w:szCs w:val="20"/>
                              </w:rPr>
                              <m:t>i</m:t>
                            </m:r>
                          </m:sub>
                        </m:sSub>
                      </m:den>
                    </m:f>
                  </m:e>
                </m:nary>
              </m:oMath>
            </m:oMathPara>
          </w:p>
        </w:tc>
        <w:tc>
          <w:tcPr>
            <w:tcW w:w="561" w:type="dxa"/>
            <w:tcBorders>
              <w:top w:val="nil"/>
              <w:left w:val="nil"/>
              <w:bottom w:val="nil"/>
              <w:right w:val="nil"/>
            </w:tcBorders>
            <w:vAlign w:val="center"/>
          </w:tcPr>
          <w:p w14:paraId="7A169631" w14:textId="762827B4" w:rsidR="0057213E" w:rsidRDefault="0057213E" w:rsidP="00A8254A">
            <w:pPr>
              <w:pStyle w:val="MDPI35textbeforelist"/>
              <w:ind w:left="0" w:firstLine="0"/>
              <w:jc w:val="center"/>
              <w:rPr>
                <w:rFonts w:ascii="Times New Roman" w:hAnsi="Times New Roman"/>
                <w:szCs w:val="20"/>
              </w:rPr>
            </w:pPr>
            <w:r>
              <w:rPr>
                <w:rFonts w:ascii="Times New Roman" w:hAnsi="Times New Roman"/>
                <w:szCs w:val="20"/>
              </w:rPr>
              <w:t>(5)</w:t>
            </w:r>
          </w:p>
        </w:tc>
      </w:tr>
    </w:tbl>
    <w:p w14:paraId="465E0466" w14:textId="77777777" w:rsidR="0057213E" w:rsidRPr="00D82B86" w:rsidRDefault="0057213E" w:rsidP="00584CD8">
      <w:pPr>
        <w:pStyle w:val="MDPI35textbeforelist"/>
        <w:ind w:left="0"/>
        <w:rPr>
          <w:rFonts w:ascii="Times New Roman" w:hAnsi="Times New Roman"/>
          <w:szCs w:val="20"/>
        </w:rPr>
      </w:pPr>
    </w:p>
    <w:p w14:paraId="36F09FF3" w14:textId="4C34F8F6" w:rsidR="00584CD8" w:rsidRPr="00D82B86" w:rsidRDefault="00584CD8" w:rsidP="00584CD8">
      <w:pPr>
        <w:pStyle w:val="MDPI35textbeforelist"/>
        <w:ind w:left="0"/>
        <w:rPr>
          <w:rFonts w:ascii="Times New Roman" w:hAnsi="Times New Roman"/>
          <w:szCs w:val="20"/>
        </w:rPr>
      </w:pPr>
      <w:r w:rsidRPr="00D82B86">
        <w:rPr>
          <w:rFonts w:ascii="Cambria Math" w:hAnsi="Cambria Math" w:cs="Cambria Math"/>
          <w:i/>
          <w:iCs/>
          <w:szCs w:val="20"/>
        </w:rPr>
        <w:t>∇</w:t>
      </w:r>
      <w:r w:rsidRPr="00D82B86">
        <w:rPr>
          <w:rFonts w:ascii="Times New Roman" w:hAnsi="Times New Roman"/>
          <w:szCs w:val="20"/>
        </w:rPr>
        <w:t xml:space="preserve"> is the </w:t>
      </w:r>
      <w:r w:rsidR="00720F48">
        <w:rPr>
          <w:rFonts w:ascii="Times New Roman" w:hAnsi="Times New Roman"/>
          <w:szCs w:val="20"/>
        </w:rPr>
        <w:t>derivative</w:t>
      </w:r>
      <w:r w:rsidR="00720F48" w:rsidRPr="00D82B86">
        <w:rPr>
          <w:rFonts w:ascii="Times New Roman" w:hAnsi="Times New Roman"/>
          <w:szCs w:val="20"/>
        </w:rPr>
        <w:t xml:space="preserve"> </w:t>
      </w:r>
      <w:r w:rsidRPr="00D82B86">
        <w:rPr>
          <w:rFonts w:ascii="Times New Roman" w:hAnsi="Times New Roman"/>
          <w:szCs w:val="20"/>
        </w:rPr>
        <w:t xml:space="preserve">value, and </w:t>
      </w:r>
      <w:proofErr w:type="spellStart"/>
      <w:r w:rsidRPr="00D82B86">
        <w:rPr>
          <w:rFonts w:ascii="Times New Roman" w:hAnsi="Times New Roman"/>
          <w:i/>
          <w:iCs/>
          <w:szCs w:val="20"/>
        </w:rPr>
        <w:t>o</w:t>
      </w:r>
      <w:proofErr w:type="spellEnd"/>
      <w:r w:rsidRPr="00D82B86">
        <w:rPr>
          <w:rFonts w:ascii="Times New Roman" w:hAnsi="Times New Roman"/>
          <w:szCs w:val="20"/>
        </w:rPr>
        <w:t xml:space="preserve"> is the output value. The </w:t>
      </w:r>
      <w:r w:rsidR="00720F48">
        <w:rPr>
          <w:rFonts w:ascii="Times New Roman" w:hAnsi="Times New Roman"/>
          <w:szCs w:val="20"/>
        </w:rPr>
        <w:t>derivative</w:t>
      </w:r>
      <w:r w:rsidR="00720F48" w:rsidRPr="00D82B86">
        <w:rPr>
          <w:rFonts w:ascii="Times New Roman" w:hAnsi="Times New Roman"/>
          <w:szCs w:val="20"/>
        </w:rPr>
        <w:t xml:space="preserve"> </w:t>
      </w:r>
      <w:r w:rsidRPr="00D82B86">
        <w:rPr>
          <w:rFonts w:ascii="Times New Roman" w:hAnsi="Times New Roman"/>
          <w:szCs w:val="20"/>
        </w:rPr>
        <w:t xml:space="preserve">and loss values are </w:t>
      </w:r>
      <w:r w:rsidR="003B0B12">
        <w:rPr>
          <w:rFonts w:ascii="Times New Roman" w:hAnsi="Times New Roman"/>
          <w:szCs w:val="20"/>
        </w:rPr>
        <w:t>then</w:t>
      </w:r>
      <w:r w:rsidRPr="00D82B86">
        <w:rPr>
          <w:rFonts w:ascii="Times New Roman" w:hAnsi="Times New Roman"/>
          <w:szCs w:val="20"/>
        </w:rPr>
        <w:t xml:space="preserve"> </w:t>
      </w:r>
      <w:r w:rsidR="003B0B12">
        <w:rPr>
          <w:rFonts w:ascii="Times New Roman" w:hAnsi="Times New Roman"/>
          <w:szCs w:val="20"/>
        </w:rPr>
        <w:t>employed</w:t>
      </w:r>
      <w:r w:rsidRPr="00D82B86">
        <w:rPr>
          <w:rFonts w:ascii="Times New Roman" w:hAnsi="Times New Roman"/>
          <w:szCs w:val="20"/>
        </w:rPr>
        <w:t xml:space="preserve"> </w:t>
      </w:r>
      <w:r w:rsidR="003B0B12">
        <w:rPr>
          <w:rFonts w:ascii="Times New Roman" w:hAnsi="Times New Roman"/>
          <w:szCs w:val="20"/>
        </w:rPr>
        <w:t>in the</w:t>
      </w:r>
      <w:r w:rsidRPr="00D82B86">
        <w:rPr>
          <w:rFonts w:ascii="Times New Roman" w:hAnsi="Times New Roman"/>
          <w:szCs w:val="20"/>
        </w:rPr>
        <w:t xml:space="preserve"> backpropagation</w:t>
      </w:r>
      <w:r w:rsidR="003B0B12">
        <w:rPr>
          <w:rFonts w:ascii="Times New Roman" w:hAnsi="Times New Roman"/>
          <w:szCs w:val="20"/>
        </w:rPr>
        <w:t xml:space="preserve"> process</w:t>
      </w:r>
      <w:r w:rsidRPr="00D82B86">
        <w:rPr>
          <w:rFonts w:ascii="Times New Roman" w:hAnsi="Times New Roman"/>
          <w:szCs w:val="20"/>
        </w:rPr>
        <w:t xml:space="preserve">, </w:t>
      </w:r>
      <w:r w:rsidR="003B0B12">
        <w:rPr>
          <w:rFonts w:ascii="Times New Roman" w:hAnsi="Times New Roman"/>
          <w:szCs w:val="20"/>
        </w:rPr>
        <w:t>which modifies</w:t>
      </w:r>
      <w:r w:rsidRPr="00D82B86">
        <w:rPr>
          <w:rFonts w:ascii="Times New Roman" w:hAnsi="Times New Roman"/>
          <w:szCs w:val="20"/>
        </w:rPr>
        <w:t xml:space="preserve"> the weights in the MLBCNN. </w:t>
      </w:r>
      <w:r w:rsidR="003B0B12">
        <w:rPr>
          <w:rFonts w:ascii="Times New Roman" w:hAnsi="Times New Roman"/>
          <w:szCs w:val="20"/>
        </w:rPr>
        <w:t xml:space="preserve">In this process, </w:t>
      </w:r>
      <w:r w:rsidR="003B0B12" w:rsidRPr="003B0B12">
        <w:rPr>
          <w:rFonts w:ascii="Times New Roman" w:hAnsi="Times New Roman"/>
          <w:szCs w:val="20"/>
        </w:rPr>
        <w:t xml:space="preserve">Adaptive Moment Estimation (Adam), an </w:t>
      </w:r>
      <w:proofErr w:type="spellStart"/>
      <w:r w:rsidR="003B0B12" w:rsidRPr="003B0B12">
        <w:rPr>
          <w:rFonts w:ascii="Times New Roman" w:hAnsi="Times New Roman"/>
          <w:szCs w:val="20"/>
        </w:rPr>
        <w:t>optimiser</w:t>
      </w:r>
      <w:proofErr w:type="spellEnd"/>
      <w:r w:rsidR="003B0B12" w:rsidRPr="003B0B12">
        <w:rPr>
          <w:rFonts w:ascii="Times New Roman" w:hAnsi="Times New Roman"/>
          <w:szCs w:val="20"/>
        </w:rPr>
        <w:t xml:space="preserve"> approach with a learning rate of 0.001, is used to accomplish this modification</w:t>
      </w:r>
      <w:r w:rsidRPr="00D82B86">
        <w:rPr>
          <w:rFonts w:ascii="Times New Roman" w:hAnsi="Times New Roman"/>
          <w:szCs w:val="20"/>
        </w:rPr>
        <w:t xml:space="preserve">. Following the completion of 30 training cycles, the MLBCNN model's weights are adjusted to optimize the clustering of feature embedding vectors from the same class, while simultaneously ensuring a substantial separation from clusters associated with different classes within the metric space. Therefore, </w:t>
      </w:r>
      <w:r w:rsidR="00720F48">
        <w:rPr>
          <w:rFonts w:ascii="Times New Roman" w:hAnsi="Times New Roman"/>
          <w:szCs w:val="20"/>
        </w:rPr>
        <w:t>at the end</w:t>
      </w:r>
      <w:r w:rsidRPr="00D82B86">
        <w:rPr>
          <w:rFonts w:ascii="Times New Roman" w:hAnsi="Times New Roman"/>
          <w:szCs w:val="20"/>
        </w:rPr>
        <w:t xml:space="preserve"> of the training</w:t>
      </w:r>
      <w:r w:rsidR="00720F48">
        <w:rPr>
          <w:rFonts w:ascii="Times New Roman" w:hAnsi="Times New Roman"/>
          <w:szCs w:val="20"/>
        </w:rPr>
        <w:t xml:space="preserve"> process</w:t>
      </w:r>
      <w:r w:rsidRPr="00D82B86">
        <w:rPr>
          <w:rFonts w:ascii="Times New Roman" w:hAnsi="Times New Roman"/>
          <w:szCs w:val="20"/>
        </w:rPr>
        <w:t xml:space="preserve">, it can be observed that vectors </w:t>
      </w:r>
      <w:r w:rsidR="00720F48">
        <w:rPr>
          <w:rFonts w:ascii="Times New Roman" w:hAnsi="Times New Roman"/>
          <w:szCs w:val="20"/>
        </w:rPr>
        <w:t xml:space="preserve">from </w:t>
      </w:r>
      <w:proofErr w:type="gramStart"/>
      <w:r w:rsidR="00720F48">
        <w:rPr>
          <w:rFonts w:ascii="Times New Roman" w:hAnsi="Times New Roman"/>
          <w:szCs w:val="20"/>
        </w:rPr>
        <w:t>the</w:t>
      </w:r>
      <w:proofErr w:type="gramEnd"/>
      <w:r w:rsidRPr="00D82B86">
        <w:rPr>
          <w:rFonts w:ascii="Times New Roman" w:hAnsi="Times New Roman"/>
          <w:szCs w:val="20"/>
        </w:rPr>
        <w:t xml:space="preserve"> </w:t>
      </w:r>
      <w:r w:rsidR="00720F48">
        <w:rPr>
          <w:rFonts w:ascii="Times New Roman" w:hAnsi="Times New Roman"/>
          <w:szCs w:val="20"/>
        </w:rPr>
        <w:t>similar</w:t>
      </w:r>
      <w:r w:rsidRPr="00D82B86">
        <w:rPr>
          <w:rFonts w:ascii="Times New Roman" w:hAnsi="Times New Roman"/>
          <w:szCs w:val="20"/>
        </w:rPr>
        <w:t xml:space="preserve"> class exhibit a notable degree of similarity based on cosine similarity and are grouped in the metric space. This clustering promotes a clear separation between the two classes through a linear function. </w:t>
      </w:r>
      <w:r w:rsidR="003E6384" w:rsidRPr="00D82B86">
        <w:rPr>
          <w:rFonts w:ascii="Times New Roman" w:hAnsi="Times New Roman"/>
          <w:szCs w:val="20"/>
        </w:rPr>
        <w:t>Unlike conventional CNNs that treat classes independently, the SoftMax normalization (Eq</w:t>
      </w:r>
      <w:r w:rsidR="00985FBC">
        <w:rPr>
          <w:rFonts w:ascii="Times New Roman" w:hAnsi="Times New Roman"/>
          <w:szCs w:val="20"/>
        </w:rPr>
        <w:t>uation</w:t>
      </w:r>
      <w:r w:rsidR="003E6384" w:rsidRPr="00D82B86">
        <w:rPr>
          <w:rFonts w:ascii="Times New Roman" w:hAnsi="Times New Roman"/>
          <w:szCs w:val="20"/>
        </w:rPr>
        <w:t xml:space="preserve"> 3) and temperature scaling (τ) explicitly penalize poor clustering, forcing feature vectors of the same class closer in metric space.</w:t>
      </w:r>
    </w:p>
    <w:p w14:paraId="22843821" w14:textId="1CA61A83" w:rsidR="00584CD8" w:rsidRPr="00D82B86" w:rsidRDefault="00584CD8" w:rsidP="00584CD8">
      <w:pPr>
        <w:pStyle w:val="Heading1"/>
      </w:pPr>
      <w:r w:rsidRPr="00D82B86">
        <w:t>Results and Discussion</w:t>
      </w:r>
    </w:p>
    <w:p w14:paraId="48E03F26" w14:textId="466F71CF" w:rsidR="00584CD8" w:rsidRPr="00D82B86" w:rsidRDefault="00584CD8" w:rsidP="00584CD8">
      <w:pPr>
        <w:pStyle w:val="Heading2"/>
      </w:pPr>
      <w:r w:rsidRPr="00D82B86">
        <w:t>Setting of Temperature Coefficient Value τ in the MLBCNN</w:t>
      </w:r>
    </w:p>
    <w:p w14:paraId="343B22AE" w14:textId="2E37FE27" w:rsidR="00584CD8" w:rsidRDefault="00584CD8" w:rsidP="00584CD8">
      <w:pPr>
        <w:pStyle w:val="Paragraph"/>
      </w:pPr>
      <w:r w:rsidRPr="00D82B86">
        <w:t xml:space="preserve">An experimental procedure is carried out to determine the optimal temperature coefficient value τ, one of the crucial hyperparameters of the MLBCNN. In this experiment, a range spanning from 0.1 to 1.0 of this </w:t>
      </w:r>
      <w:proofErr w:type="gramStart"/>
      <w:r w:rsidRPr="00D82B86">
        <w:t>coefficient</w:t>
      </w:r>
      <w:proofErr w:type="gramEnd"/>
      <w:r w:rsidRPr="00D82B86">
        <w:t xml:space="preserve"> is evaluated, with an increment of 0.1. Figure </w:t>
      </w:r>
      <w:r w:rsidR="00CE718D" w:rsidRPr="00D82B86">
        <w:t>5</w:t>
      </w:r>
      <w:r w:rsidRPr="00D82B86">
        <w:t xml:space="preserve"> visualizes the results plotted based on the </w:t>
      </w:r>
      <w:r w:rsidR="003B7F80" w:rsidRPr="00D82B86">
        <w:t>accuracy score values</w:t>
      </w:r>
      <w:r w:rsidR="001B4F57" w:rsidRPr="00D82B86">
        <w:t xml:space="preserve"> of different temperature coefficient values</w:t>
      </w:r>
      <w:r w:rsidRPr="00D82B86">
        <w:t>.</w:t>
      </w:r>
    </w:p>
    <w:p w14:paraId="14036F78" w14:textId="77777777" w:rsidR="0057213E" w:rsidRPr="00D82B86" w:rsidRDefault="0057213E" w:rsidP="00584CD8">
      <w:pPr>
        <w:pStyle w:val="Paragraph"/>
      </w:pPr>
    </w:p>
    <w:p w14:paraId="4D2CD515" w14:textId="10466BC8" w:rsidR="00584CD8" w:rsidRPr="00D82B86" w:rsidRDefault="00CE718D" w:rsidP="00584CD8">
      <w:pPr>
        <w:pStyle w:val="MDPI31text"/>
        <w:ind w:left="0"/>
        <w:jc w:val="center"/>
      </w:pPr>
      <w:r w:rsidRPr="00D82B86">
        <w:rPr>
          <w:noProof/>
        </w:rPr>
        <w:drawing>
          <wp:inline distT="0" distB="0" distL="0" distR="0" wp14:anchorId="5CA56917" wp14:editId="61266B72">
            <wp:extent cx="3103138" cy="1868556"/>
            <wp:effectExtent l="0" t="0" r="2540" b="0"/>
            <wp:docPr id="10759618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09709" cy="1872513"/>
                    </a:xfrm>
                    <a:prstGeom prst="rect">
                      <a:avLst/>
                    </a:prstGeom>
                    <a:noFill/>
                  </pic:spPr>
                </pic:pic>
              </a:graphicData>
            </a:graphic>
          </wp:inline>
        </w:drawing>
      </w:r>
    </w:p>
    <w:p w14:paraId="4BF75381" w14:textId="7CF833C0" w:rsidR="00584CD8" w:rsidRDefault="00D82B86" w:rsidP="0057213E">
      <w:pPr>
        <w:pStyle w:val="MDPI31text"/>
        <w:spacing w:before="120" w:line="240" w:lineRule="auto"/>
        <w:ind w:left="0" w:firstLine="0"/>
        <w:jc w:val="center"/>
        <w:rPr>
          <w:rFonts w:ascii="Times New Roman" w:hAnsi="Times New Roman"/>
          <w:sz w:val="18"/>
          <w:szCs w:val="18"/>
        </w:rPr>
      </w:pPr>
      <w:r w:rsidRPr="00D82B86">
        <w:rPr>
          <w:b/>
          <w:caps/>
        </w:rPr>
        <w:t xml:space="preserve">Figure </w:t>
      </w:r>
      <w:r w:rsidR="00CE718D" w:rsidRPr="00D82B86">
        <w:rPr>
          <w:rFonts w:ascii="Times New Roman" w:hAnsi="Times New Roman"/>
          <w:b/>
        </w:rPr>
        <w:t>5</w:t>
      </w:r>
      <w:r w:rsidR="00584CD8" w:rsidRPr="00D82B86">
        <w:rPr>
          <w:rFonts w:ascii="Times New Roman" w:hAnsi="Times New Roman"/>
          <w:b/>
        </w:rPr>
        <w:t xml:space="preserve">. </w:t>
      </w:r>
      <w:r w:rsidR="00584CD8" w:rsidRPr="00712C00">
        <w:rPr>
          <w:rFonts w:ascii="Times New Roman" w:hAnsi="Times New Roman"/>
          <w:sz w:val="18"/>
          <w:szCs w:val="18"/>
        </w:rPr>
        <w:t xml:space="preserve">Plotted </w:t>
      </w:r>
      <w:r w:rsidR="0057213E">
        <w:rPr>
          <w:rFonts w:ascii="Times New Roman" w:hAnsi="Times New Roman"/>
          <w:sz w:val="18"/>
          <w:szCs w:val="18"/>
        </w:rPr>
        <w:t>c</w:t>
      </w:r>
      <w:r w:rsidR="00584CD8" w:rsidRPr="00712C00">
        <w:rPr>
          <w:rFonts w:ascii="Times New Roman" w:hAnsi="Times New Roman"/>
          <w:sz w:val="18"/>
          <w:szCs w:val="18"/>
        </w:rPr>
        <w:t xml:space="preserve">hart of </w:t>
      </w:r>
      <w:r w:rsidR="0057213E">
        <w:rPr>
          <w:rFonts w:ascii="Times New Roman" w:hAnsi="Times New Roman"/>
          <w:sz w:val="18"/>
          <w:szCs w:val="18"/>
        </w:rPr>
        <w:t>a</w:t>
      </w:r>
      <w:r w:rsidR="00584CD8" w:rsidRPr="00712C00">
        <w:rPr>
          <w:rFonts w:ascii="Times New Roman" w:hAnsi="Times New Roman"/>
          <w:sz w:val="18"/>
          <w:szCs w:val="18"/>
        </w:rPr>
        <w:t xml:space="preserve">ccuracy vs </w:t>
      </w:r>
      <w:r w:rsidR="0057213E">
        <w:rPr>
          <w:rFonts w:ascii="Times New Roman" w:hAnsi="Times New Roman"/>
          <w:sz w:val="18"/>
          <w:szCs w:val="18"/>
        </w:rPr>
        <w:t>t</w:t>
      </w:r>
      <w:r w:rsidR="00584CD8" w:rsidRPr="00712C00">
        <w:rPr>
          <w:rFonts w:ascii="Times New Roman" w:hAnsi="Times New Roman"/>
          <w:sz w:val="18"/>
          <w:szCs w:val="18"/>
        </w:rPr>
        <w:t xml:space="preserve">emperature </w:t>
      </w:r>
      <w:r w:rsidR="0057213E">
        <w:rPr>
          <w:rFonts w:ascii="Times New Roman" w:hAnsi="Times New Roman"/>
          <w:sz w:val="18"/>
          <w:szCs w:val="18"/>
        </w:rPr>
        <w:t>c</w:t>
      </w:r>
      <w:r w:rsidR="00584CD8" w:rsidRPr="00712C00">
        <w:rPr>
          <w:rFonts w:ascii="Times New Roman" w:hAnsi="Times New Roman"/>
          <w:sz w:val="18"/>
          <w:szCs w:val="18"/>
        </w:rPr>
        <w:t xml:space="preserve">oefficient </w:t>
      </w:r>
      <w:r w:rsidR="0057213E">
        <w:rPr>
          <w:rFonts w:ascii="Times New Roman" w:hAnsi="Times New Roman"/>
          <w:sz w:val="18"/>
          <w:szCs w:val="18"/>
        </w:rPr>
        <w:t>v</w:t>
      </w:r>
      <w:r w:rsidR="00584CD8" w:rsidRPr="00712C00">
        <w:rPr>
          <w:rFonts w:ascii="Times New Roman" w:hAnsi="Times New Roman"/>
          <w:sz w:val="18"/>
          <w:szCs w:val="18"/>
        </w:rPr>
        <w:t>alue</w:t>
      </w:r>
    </w:p>
    <w:p w14:paraId="472FC1F8" w14:textId="77777777" w:rsidR="0057213E" w:rsidRPr="00D82B86" w:rsidRDefault="0057213E" w:rsidP="0057213E">
      <w:pPr>
        <w:pStyle w:val="MDPI31text"/>
        <w:spacing w:before="120" w:line="240" w:lineRule="auto"/>
        <w:ind w:left="0" w:firstLine="0"/>
        <w:jc w:val="center"/>
        <w:rPr>
          <w:rFonts w:ascii="Times New Roman" w:hAnsi="Times New Roman"/>
        </w:rPr>
      </w:pPr>
    </w:p>
    <w:p w14:paraId="7720B15F" w14:textId="0BDEB43C" w:rsidR="00584CD8" w:rsidRPr="00D82B86" w:rsidRDefault="00584CD8" w:rsidP="00584CD8">
      <w:pPr>
        <w:pStyle w:val="Paragraph"/>
      </w:pPr>
      <w:r w:rsidRPr="00D82B86">
        <w:t xml:space="preserve">The empirical findings exhibit a perceptible performance improvement as the temperature coefficient value increases from 0.1 to 0.3, and the proposed MLBCNN attains the highest classification accuracy at </w:t>
      </w:r>
      <m:oMath>
        <m:r>
          <w:rPr>
            <w:rFonts w:ascii="Cambria Math" w:hAnsi="Cambria Math"/>
          </w:rPr>
          <m:t>τ=0.3</m:t>
        </m:r>
      </m:oMath>
      <w:r w:rsidRPr="00D82B86">
        <w:t xml:space="preserve">. </w:t>
      </w:r>
      <w:r w:rsidR="00EE5830" w:rsidRPr="00D82B86">
        <w:t>The temperature coefficient τ critically controls the trade-off between discriminative power and generalization in our metric learning framework. At τ=0.1, overconfident similarity scores exaggerate minor feature differences, causing fragmented clusters and overfitting. Conversely, τ&gt;0.3 over-smooths decision boundaries, diluting clinically meaningful separations. The optimal τ=0.3 balances these effects</w:t>
      </w:r>
      <w:r w:rsidR="003B7F80" w:rsidRPr="00D82B86">
        <w:t xml:space="preserve">, </w:t>
      </w:r>
      <w:r w:rsidR="00EE5830" w:rsidRPr="00D82B86">
        <w:t>preserving gradient strength for discriminative learning while maintaining natural EEG variation scaling</w:t>
      </w:r>
      <w:r w:rsidR="003B7F80" w:rsidRPr="00D82B86">
        <w:t>,</w:t>
      </w:r>
      <w:r w:rsidR="00EE5830" w:rsidRPr="00D82B86">
        <w:t xml:space="preserve"> yielding peak accuracy (97.9%). This demonstrates MLBCNN's unique ability to optimize feature space organization where conventional CNNs fail.</w:t>
      </w:r>
    </w:p>
    <w:p w14:paraId="51566650" w14:textId="3141FEF2" w:rsidR="00584CD8" w:rsidRPr="00D82B86" w:rsidRDefault="00584CD8" w:rsidP="00584CD8">
      <w:pPr>
        <w:pStyle w:val="Heading2"/>
      </w:pPr>
      <w:r w:rsidRPr="00D82B86">
        <w:lastRenderedPageBreak/>
        <w:t>Performance Comparison and Analysis</w:t>
      </w:r>
    </w:p>
    <w:p w14:paraId="378F54B5" w14:textId="7BAFD280" w:rsidR="00B763A8" w:rsidRDefault="00584CD8" w:rsidP="00584CD8">
      <w:pPr>
        <w:pStyle w:val="Paragraph"/>
      </w:pPr>
      <w:r w:rsidRPr="00D82B86">
        <w:t>In this section, we present the empirical results of the experiment, assessing the performance of various models, including the proposed MLBCNN. The performance metrics used include accuracy, recall, precision, and specificity.</w:t>
      </w:r>
      <w:r w:rsidR="004660E0" w:rsidRPr="00D82B86">
        <w:t xml:space="preserve"> The results are </w:t>
      </w:r>
      <w:r w:rsidR="00CE718D" w:rsidRPr="00D82B86">
        <w:t>compiled in Table 1</w:t>
      </w:r>
      <w:r w:rsidR="004660E0" w:rsidRPr="00D82B86">
        <w:t>.</w:t>
      </w:r>
    </w:p>
    <w:p w14:paraId="68C97130" w14:textId="77777777" w:rsidR="00197A32" w:rsidRPr="00D82B86" w:rsidRDefault="00197A32" w:rsidP="00584CD8">
      <w:pPr>
        <w:pStyle w:val="Paragraph"/>
      </w:pPr>
    </w:p>
    <w:p w14:paraId="15E6FCE0" w14:textId="1261EC5F" w:rsidR="006C46DD" w:rsidRPr="00D82B86" w:rsidRDefault="0042620A" w:rsidP="0057213E">
      <w:pPr>
        <w:pStyle w:val="Paragraph"/>
        <w:spacing w:before="120"/>
        <w:ind w:firstLine="0"/>
        <w:jc w:val="center"/>
      </w:pPr>
      <w:r>
        <w:rPr>
          <w:b/>
        </w:rPr>
        <w:t>TABLE</w:t>
      </w:r>
      <w:r w:rsidR="006C46DD" w:rsidRPr="00D82B86">
        <w:rPr>
          <w:b/>
        </w:rPr>
        <w:t xml:space="preserve"> 1. </w:t>
      </w:r>
      <w:r w:rsidR="006C46DD" w:rsidRPr="00712C00">
        <w:rPr>
          <w:sz w:val="18"/>
          <w:szCs w:val="18"/>
        </w:rPr>
        <w:t>Classification Performance of ML and DL Models</w:t>
      </w:r>
    </w:p>
    <w:tbl>
      <w:tblPr>
        <w:tblStyle w:val="TableGrid"/>
        <w:tblW w:w="924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854"/>
        <w:gridCol w:w="441"/>
        <w:gridCol w:w="441"/>
        <w:gridCol w:w="442"/>
        <w:gridCol w:w="441"/>
        <w:gridCol w:w="441"/>
        <w:gridCol w:w="442"/>
        <w:gridCol w:w="441"/>
        <w:gridCol w:w="441"/>
        <w:gridCol w:w="442"/>
        <w:gridCol w:w="441"/>
        <w:gridCol w:w="442"/>
        <w:gridCol w:w="441"/>
        <w:gridCol w:w="441"/>
        <w:gridCol w:w="442"/>
        <w:gridCol w:w="441"/>
        <w:gridCol w:w="441"/>
        <w:gridCol w:w="442"/>
        <w:gridCol w:w="441"/>
        <w:gridCol w:w="442"/>
      </w:tblGrid>
      <w:tr w:rsidR="006D4236" w:rsidRPr="00D82B86" w14:paraId="415698AB" w14:textId="77777777" w:rsidTr="008309BB">
        <w:trPr>
          <w:trHeight w:val="700"/>
          <w:jc w:val="center"/>
        </w:trPr>
        <w:tc>
          <w:tcPr>
            <w:tcW w:w="854" w:type="dxa"/>
            <w:tcBorders>
              <w:top w:val="single" w:sz="4" w:space="0" w:color="auto"/>
              <w:bottom w:val="single" w:sz="4" w:space="0" w:color="auto"/>
            </w:tcBorders>
            <w:hideMark/>
          </w:tcPr>
          <w:p w14:paraId="33114EF6" w14:textId="77777777" w:rsidR="006D4236" w:rsidRPr="00D82B86" w:rsidRDefault="006D4236" w:rsidP="006D4236">
            <w:pPr>
              <w:ind w:firstLineChars="100" w:firstLine="120"/>
              <w:jc w:val="center"/>
              <w:rPr>
                <w:rFonts w:ascii="Segoe UI" w:hAnsi="Segoe UI" w:cs="Segoe UI"/>
                <w:b/>
                <w:bCs/>
                <w:color w:val="404040"/>
                <w:sz w:val="12"/>
                <w:szCs w:val="12"/>
                <w:lang w:val="en-MY" w:eastAsia="zh-CN"/>
              </w:rPr>
            </w:pPr>
            <w:r w:rsidRPr="00D82B86">
              <w:rPr>
                <w:rFonts w:ascii="Segoe UI" w:hAnsi="Segoe UI" w:cs="Segoe UI"/>
                <w:b/>
                <w:bCs/>
                <w:color w:val="404040"/>
                <w:sz w:val="12"/>
                <w:szCs w:val="12"/>
                <w:lang w:val="en-MY" w:eastAsia="zh-CN"/>
              </w:rPr>
              <w:t>Performance Metrics</w:t>
            </w:r>
          </w:p>
        </w:tc>
        <w:tc>
          <w:tcPr>
            <w:tcW w:w="441" w:type="dxa"/>
            <w:tcBorders>
              <w:top w:val="single" w:sz="4" w:space="0" w:color="auto"/>
              <w:bottom w:val="single" w:sz="4" w:space="0" w:color="auto"/>
            </w:tcBorders>
            <w:hideMark/>
          </w:tcPr>
          <w:p w14:paraId="3A0EF0BC" w14:textId="77777777" w:rsidR="006D4236" w:rsidRPr="00D82B86" w:rsidRDefault="006D4236" w:rsidP="006D4236">
            <w:pPr>
              <w:ind w:firstLineChars="100" w:firstLine="120"/>
              <w:jc w:val="center"/>
              <w:rPr>
                <w:rFonts w:ascii="Segoe UI" w:hAnsi="Segoe UI" w:cs="Segoe UI"/>
                <w:b/>
                <w:bCs/>
                <w:color w:val="404040"/>
                <w:sz w:val="12"/>
                <w:szCs w:val="12"/>
                <w:lang w:val="en-MY" w:eastAsia="zh-CN"/>
              </w:rPr>
            </w:pPr>
            <w:r w:rsidRPr="00D82B86">
              <w:rPr>
                <w:rFonts w:ascii="Segoe UI" w:hAnsi="Segoe UI" w:cs="Segoe UI"/>
                <w:b/>
                <w:bCs/>
                <w:color w:val="404040"/>
                <w:sz w:val="12"/>
                <w:szCs w:val="12"/>
                <w:lang w:val="en-MY" w:eastAsia="zh-CN"/>
              </w:rPr>
              <w:t>KNN</w:t>
            </w:r>
          </w:p>
        </w:tc>
        <w:tc>
          <w:tcPr>
            <w:tcW w:w="441" w:type="dxa"/>
            <w:tcBorders>
              <w:top w:val="single" w:sz="4" w:space="0" w:color="auto"/>
              <w:bottom w:val="single" w:sz="4" w:space="0" w:color="auto"/>
            </w:tcBorders>
            <w:hideMark/>
          </w:tcPr>
          <w:p w14:paraId="6A362D11" w14:textId="77777777" w:rsidR="006D4236" w:rsidRPr="00D82B86" w:rsidRDefault="006D4236" w:rsidP="006D4236">
            <w:pPr>
              <w:ind w:firstLineChars="100" w:firstLine="120"/>
              <w:jc w:val="center"/>
              <w:rPr>
                <w:rFonts w:ascii="Segoe UI" w:hAnsi="Segoe UI" w:cs="Segoe UI"/>
                <w:b/>
                <w:bCs/>
                <w:color w:val="404040"/>
                <w:sz w:val="12"/>
                <w:szCs w:val="12"/>
                <w:lang w:val="en-MY" w:eastAsia="zh-CN"/>
              </w:rPr>
            </w:pPr>
            <w:r w:rsidRPr="00D82B86">
              <w:rPr>
                <w:rFonts w:ascii="Segoe UI" w:hAnsi="Segoe UI" w:cs="Segoe UI"/>
                <w:b/>
                <w:bCs/>
                <w:color w:val="404040"/>
                <w:sz w:val="12"/>
                <w:szCs w:val="12"/>
                <w:lang w:val="en-MY" w:eastAsia="zh-CN"/>
              </w:rPr>
              <w:t>SVM</w:t>
            </w:r>
          </w:p>
        </w:tc>
        <w:tc>
          <w:tcPr>
            <w:tcW w:w="442" w:type="dxa"/>
            <w:tcBorders>
              <w:top w:val="single" w:sz="4" w:space="0" w:color="auto"/>
              <w:bottom w:val="single" w:sz="4" w:space="0" w:color="auto"/>
            </w:tcBorders>
            <w:hideMark/>
          </w:tcPr>
          <w:p w14:paraId="3B6BDE09" w14:textId="77777777" w:rsidR="006D4236" w:rsidRPr="00D82B86" w:rsidRDefault="006D4236" w:rsidP="006D4236">
            <w:pPr>
              <w:ind w:firstLineChars="100" w:firstLine="120"/>
              <w:jc w:val="center"/>
              <w:rPr>
                <w:rFonts w:ascii="Segoe UI" w:hAnsi="Segoe UI" w:cs="Segoe UI"/>
                <w:b/>
                <w:bCs/>
                <w:color w:val="404040"/>
                <w:sz w:val="12"/>
                <w:szCs w:val="12"/>
                <w:lang w:val="en-MY" w:eastAsia="zh-CN"/>
              </w:rPr>
            </w:pPr>
            <w:r w:rsidRPr="00D82B86">
              <w:rPr>
                <w:rFonts w:ascii="Segoe UI" w:hAnsi="Segoe UI" w:cs="Segoe UI"/>
                <w:b/>
                <w:bCs/>
                <w:color w:val="404040"/>
                <w:sz w:val="12"/>
                <w:szCs w:val="12"/>
                <w:lang w:val="en-MY" w:eastAsia="zh-CN"/>
              </w:rPr>
              <w:t>LR</w:t>
            </w:r>
          </w:p>
        </w:tc>
        <w:tc>
          <w:tcPr>
            <w:tcW w:w="441" w:type="dxa"/>
            <w:tcBorders>
              <w:top w:val="single" w:sz="4" w:space="0" w:color="auto"/>
              <w:bottom w:val="single" w:sz="4" w:space="0" w:color="auto"/>
            </w:tcBorders>
            <w:hideMark/>
          </w:tcPr>
          <w:p w14:paraId="3431D896" w14:textId="77777777" w:rsidR="006D4236" w:rsidRPr="00D82B86" w:rsidRDefault="006D4236" w:rsidP="006D4236">
            <w:pPr>
              <w:ind w:firstLineChars="100" w:firstLine="120"/>
              <w:jc w:val="center"/>
              <w:rPr>
                <w:rFonts w:ascii="Segoe UI" w:hAnsi="Segoe UI" w:cs="Segoe UI"/>
                <w:b/>
                <w:bCs/>
                <w:color w:val="404040"/>
                <w:sz w:val="12"/>
                <w:szCs w:val="12"/>
                <w:lang w:val="en-MY" w:eastAsia="zh-CN"/>
              </w:rPr>
            </w:pPr>
            <w:r w:rsidRPr="00D82B86">
              <w:rPr>
                <w:rFonts w:ascii="Segoe UI" w:hAnsi="Segoe UI" w:cs="Segoe UI"/>
                <w:b/>
                <w:bCs/>
                <w:color w:val="404040"/>
                <w:sz w:val="12"/>
                <w:szCs w:val="12"/>
                <w:lang w:val="en-MY" w:eastAsia="zh-CN"/>
              </w:rPr>
              <w:t>SGD</w:t>
            </w:r>
          </w:p>
        </w:tc>
        <w:tc>
          <w:tcPr>
            <w:tcW w:w="441" w:type="dxa"/>
            <w:tcBorders>
              <w:top w:val="single" w:sz="4" w:space="0" w:color="auto"/>
              <w:bottom w:val="single" w:sz="4" w:space="0" w:color="auto"/>
            </w:tcBorders>
            <w:hideMark/>
          </w:tcPr>
          <w:p w14:paraId="774EB9BF" w14:textId="77777777" w:rsidR="006D4236" w:rsidRPr="00D82B86" w:rsidRDefault="006D4236" w:rsidP="006D4236">
            <w:pPr>
              <w:ind w:firstLineChars="100" w:firstLine="120"/>
              <w:jc w:val="center"/>
              <w:rPr>
                <w:rFonts w:ascii="Segoe UI" w:hAnsi="Segoe UI" w:cs="Segoe UI"/>
                <w:b/>
                <w:bCs/>
                <w:color w:val="404040"/>
                <w:sz w:val="12"/>
                <w:szCs w:val="12"/>
                <w:lang w:val="en-MY" w:eastAsia="zh-CN"/>
              </w:rPr>
            </w:pPr>
            <w:r w:rsidRPr="00D82B86">
              <w:rPr>
                <w:rFonts w:ascii="Segoe UI" w:hAnsi="Segoe UI" w:cs="Segoe UI"/>
                <w:b/>
                <w:bCs/>
                <w:color w:val="404040"/>
                <w:sz w:val="12"/>
                <w:szCs w:val="12"/>
                <w:lang w:val="en-MY" w:eastAsia="zh-CN"/>
              </w:rPr>
              <w:t>NBC</w:t>
            </w:r>
          </w:p>
        </w:tc>
        <w:tc>
          <w:tcPr>
            <w:tcW w:w="442" w:type="dxa"/>
            <w:tcBorders>
              <w:top w:val="single" w:sz="4" w:space="0" w:color="auto"/>
              <w:bottom w:val="single" w:sz="4" w:space="0" w:color="auto"/>
            </w:tcBorders>
            <w:hideMark/>
          </w:tcPr>
          <w:p w14:paraId="2238CAA0" w14:textId="77777777" w:rsidR="006D4236" w:rsidRPr="00D82B86" w:rsidRDefault="006D4236" w:rsidP="006D4236">
            <w:pPr>
              <w:ind w:firstLineChars="100" w:firstLine="120"/>
              <w:jc w:val="center"/>
              <w:rPr>
                <w:rFonts w:ascii="Segoe UI" w:hAnsi="Segoe UI" w:cs="Segoe UI"/>
                <w:b/>
                <w:bCs/>
                <w:color w:val="404040"/>
                <w:sz w:val="12"/>
                <w:szCs w:val="12"/>
                <w:lang w:val="en-MY" w:eastAsia="zh-CN"/>
              </w:rPr>
            </w:pPr>
            <w:r w:rsidRPr="00D82B86">
              <w:rPr>
                <w:rFonts w:ascii="Segoe UI" w:hAnsi="Segoe UI" w:cs="Segoe UI"/>
                <w:b/>
                <w:bCs/>
                <w:color w:val="404040"/>
                <w:sz w:val="12"/>
                <w:szCs w:val="12"/>
                <w:lang w:val="en-MY" w:eastAsia="zh-CN"/>
              </w:rPr>
              <w:t>DTC</w:t>
            </w:r>
          </w:p>
        </w:tc>
        <w:tc>
          <w:tcPr>
            <w:tcW w:w="441" w:type="dxa"/>
            <w:tcBorders>
              <w:top w:val="single" w:sz="4" w:space="0" w:color="auto"/>
              <w:bottom w:val="single" w:sz="4" w:space="0" w:color="auto"/>
            </w:tcBorders>
            <w:hideMark/>
          </w:tcPr>
          <w:p w14:paraId="77C227E0" w14:textId="77777777" w:rsidR="006D4236" w:rsidRPr="00D82B86" w:rsidRDefault="006D4236" w:rsidP="006D4236">
            <w:pPr>
              <w:ind w:firstLineChars="100" w:firstLine="120"/>
              <w:jc w:val="center"/>
              <w:rPr>
                <w:rFonts w:ascii="Segoe UI" w:hAnsi="Segoe UI" w:cs="Segoe UI"/>
                <w:b/>
                <w:bCs/>
                <w:color w:val="404040"/>
                <w:sz w:val="12"/>
                <w:szCs w:val="12"/>
                <w:lang w:val="en-MY" w:eastAsia="zh-CN"/>
              </w:rPr>
            </w:pPr>
            <w:r w:rsidRPr="00D82B86">
              <w:rPr>
                <w:rFonts w:ascii="Segoe UI" w:hAnsi="Segoe UI" w:cs="Segoe UI"/>
                <w:b/>
                <w:bCs/>
                <w:color w:val="404040"/>
                <w:sz w:val="12"/>
                <w:szCs w:val="12"/>
                <w:lang w:val="en-MY" w:eastAsia="zh-CN"/>
              </w:rPr>
              <w:t>RFC</w:t>
            </w:r>
          </w:p>
        </w:tc>
        <w:tc>
          <w:tcPr>
            <w:tcW w:w="441" w:type="dxa"/>
            <w:tcBorders>
              <w:top w:val="single" w:sz="4" w:space="0" w:color="auto"/>
              <w:bottom w:val="single" w:sz="4" w:space="0" w:color="auto"/>
            </w:tcBorders>
            <w:hideMark/>
          </w:tcPr>
          <w:p w14:paraId="6E80AEB7" w14:textId="77777777" w:rsidR="006D4236" w:rsidRPr="00D82B86" w:rsidRDefault="006D4236" w:rsidP="006D4236">
            <w:pPr>
              <w:ind w:firstLineChars="100" w:firstLine="120"/>
              <w:jc w:val="center"/>
              <w:rPr>
                <w:rFonts w:ascii="Segoe UI" w:hAnsi="Segoe UI" w:cs="Segoe UI"/>
                <w:b/>
                <w:bCs/>
                <w:color w:val="404040"/>
                <w:sz w:val="12"/>
                <w:szCs w:val="12"/>
                <w:lang w:val="en-MY" w:eastAsia="zh-CN"/>
              </w:rPr>
            </w:pPr>
            <w:r w:rsidRPr="00D82B86">
              <w:rPr>
                <w:rFonts w:ascii="Segoe UI" w:hAnsi="Segoe UI" w:cs="Segoe UI"/>
                <w:b/>
                <w:bCs/>
                <w:color w:val="404040"/>
                <w:sz w:val="12"/>
                <w:szCs w:val="12"/>
                <w:lang w:val="en-MY" w:eastAsia="zh-CN"/>
              </w:rPr>
              <w:t>GBC</w:t>
            </w:r>
          </w:p>
        </w:tc>
        <w:tc>
          <w:tcPr>
            <w:tcW w:w="442" w:type="dxa"/>
            <w:tcBorders>
              <w:top w:val="single" w:sz="4" w:space="0" w:color="auto"/>
              <w:bottom w:val="single" w:sz="4" w:space="0" w:color="auto"/>
            </w:tcBorders>
            <w:hideMark/>
          </w:tcPr>
          <w:p w14:paraId="59BB8383" w14:textId="77777777" w:rsidR="006D4236" w:rsidRPr="00D82B86" w:rsidRDefault="006D4236" w:rsidP="006D4236">
            <w:pPr>
              <w:ind w:firstLineChars="100" w:firstLine="120"/>
              <w:jc w:val="center"/>
              <w:rPr>
                <w:rFonts w:ascii="Segoe UI" w:hAnsi="Segoe UI" w:cs="Segoe UI"/>
                <w:b/>
                <w:bCs/>
                <w:color w:val="404040"/>
                <w:sz w:val="12"/>
                <w:szCs w:val="12"/>
                <w:lang w:val="en-MY" w:eastAsia="zh-CN"/>
              </w:rPr>
            </w:pPr>
            <w:r w:rsidRPr="00D82B86">
              <w:rPr>
                <w:rFonts w:ascii="Segoe UI" w:hAnsi="Segoe UI" w:cs="Segoe UI"/>
                <w:b/>
                <w:bCs/>
                <w:color w:val="404040"/>
                <w:sz w:val="12"/>
                <w:szCs w:val="12"/>
                <w:lang w:val="en-MY" w:eastAsia="zh-CN"/>
              </w:rPr>
              <w:t>ETC</w:t>
            </w:r>
          </w:p>
        </w:tc>
        <w:tc>
          <w:tcPr>
            <w:tcW w:w="441" w:type="dxa"/>
            <w:tcBorders>
              <w:top w:val="single" w:sz="4" w:space="0" w:color="auto"/>
              <w:bottom w:val="single" w:sz="4" w:space="0" w:color="auto"/>
            </w:tcBorders>
            <w:hideMark/>
          </w:tcPr>
          <w:p w14:paraId="09B11B20" w14:textId="77777777" w:rsidR="006D4236" w:rsidRPr="00D82B86" w:rsidRDefault="006D4236" w:rsidP="006D4236">
            <w:pPr>
              <w:ind w:firstLineChars="100" w:firstLine="120"/>
              <w:jc w:val="center"/>
              <w:rPr>
                <w:rFonts w:ascii="Segoe UI" w:hAnsi="Segoe UI" w:cs="Segoe UI"/>
                <w:b/>
                <w:bCs/>
                <w:color w:val="404040"/>
                <w:sz w:val="12"/>
                <w:szCs w:val="12"/>
                <w:lang w:val="en-MY" w:eastAsia="zh-CN"/>
              </w:rPr>
            </w:pPr>
            <w:r w:rsidRPr="00D82B86">
              <w:rPr>
                <w:rFonts w:ascii="Segoe UI" w:hAnsi="Segoe UI" w:cs="Segoe UI"/>
                <w:b/>
                <w:bCs/>
                <w:color w:val="404040"/>
                <w:sz w:val="12"/>
                <w:szCs w:val="12"/>
                <w:lang w:val="en-MY" w:eastAsia="zh-CN"/>
              </w:rPr>
              <w:t>CNN</w:t>
            </w:r>
          </w:p>
        </w:tc>
        <w:tc>
          <w:tcPr>
            <w:tcW w:w="442" w:type="dxa"/>
            <w:tcBorders>
              <w:top w:val="single" w:sz="4" w:space="0" w:color="auto"/>
              <w:bottom w:val="single" w:sz="4" w:space="0" w:color="auto"/>
            </w:tcBorders>
            <w:hideMark/>
          </w:tcPr>
          <w:p w14:paraId="6A6A48A1" w14:textId="77777777" w:rsidR="006D4236" w:rsidRPr="00D82B86" w:rsidRDefault="006D4236" w:rsidP="006D4236">
            <w:pPr>
              <w:ind w:firstLineChars="100" w:firstLine="120"/>
              <w:jc w:val="center"/>
              <w:rPr>
                <w:rFonts w:ascii="Segoe UI" w:hAnsi="Segoe UI" w:cs="Segoe UI"/>
                <w:b/>
                <w:bCs/>
                <w:color w:val="404040"/>
                <w:sz w:val="12"/>
                <w:szCs w:val="12"/>
                <w:lang w:val="en-MY" w:eastAsia="zh-CN"/>
              </w:rPr>
            </w:pPr>
            <w:proofErr w:type="spellStart"/>
            <w:r w:rsidRPr="00D82B86">
              <w:rPr>
                <w:rFonts w:ascii="Segoe UI" w:hAnsi="Segoe UI" w:cs="Segoe UI"/>
                <w:b/>
                <w:bCs/>
                <w:color w:val="404040"/>
                <w:sz w:val="12"/>
                <w:szCs w:val="12"/>
                <w:lang w:val="en-MY" w:eastAsia="zh-CN"/>
              </w:rPr>
              <w:t>biRNN</w:t>
            </w:r>
            <w:proofErr w:type="spellEnd"/>
          </w:p>
        </w:tc>
        <w:tc>
          <w:tcPr>
            <w:tcW w:w="441" w:type="dxa"/>
            <w:tcBorders>
              <w:top w:val="single" w:sz="4" w:space="0" w:color="auto"/>
              <w:bottom w:val="single" w:sz="4" w:space="0" w:color="auto"/>
            </w:tcBorders>
            <w:hideMark/>
          </w:tcPr>
          <w:p w14:paraId="0A713690" w14:textId="77777777" w:rsidR="006D4236" w:rsidRPr="00D82B86" w:rsidRDefault="006D4236" w:rsidP="006D4236">
            <w:pPr>
              <w:ind w:firstLineChars="100" w:firstLine="120"/>
              <w:jc w:val="center"/>
              <w:rPr>
                <w:rFonts w:ascii="Segoe UI" w:hAnsi="Segoe UI" w:cs="Segoe UI"/>
                <w:b/>
                <w:bCs/>
                <w:color w:val="404040"/>
                <w:sz w:val="12"/>
                <w:szCs w:val="12"/>
                <w:lang w:val="en-MY" w:eastAsia="zh-CN"/>
              </w:rPr>
            </w:pPr>
            <w:proofErr w:type="spellStart"/>
            <w:r w:rsidRPr="00D82B86">
              <w:rPr>
                <w:rFonts w:ascii="Segoe UI" w:hAnsi="Segoe UI" w:cs="Segoe UI"/>
                <w:b/>
                <w:bCs/>
                <w:color w:val="404040"/>
                <w:sz w:val="12"/>
                <w:szCs w:val="12"/>
                <w:lang w:val="en-MY" w:eastAsia="zh-CN"/>
              </w:rPr>
              <w:t>biLSTM</w:t>
            </w:r>
            <w:proofErr w:type="spellEnd"/>
          </w:p>
        </w:tc>
        <w:tc>
          <w:tcPr>
            <w:tcW w:w="441" w:type="dxa"/>
            <w:tcBorders>
              <w:top w:val="single" w:sz="4" w:space="0" w:color="auto"/>
              <w:bottom w:val="single" w:sz="4" w:space="0" w:color="auto"/>
            </w:tcBorders>
            <w:hideMark/>
          </w:tcPr>
          <w:p w14:paraId="3446DF45" w14:textId="77777777" w:rsidR="006D4236" w:rsidRPr="00D82B86" w:rsidRDefault="006D4236" w:rsidP="006D4236">
            <w:pPr>
              <w:ind w:firstLineChars="100" w:firstLine="120"/>
              <w:jc w:val="center"/>
              <w:rPr>
                <w:rFonts w:ascii="Segoe UI" w:hAnsi="Segoe UI" w:cs="Segoe UI"/>
                <w:b/>
                <w:bCs/>
                <w:color w:val="404040"/>
                <w:sz w:val="12"/>
                <w:szCs w:val="12"/>
                <w:lang w:val="en-MY" w:eastAsia="zh-CN"/>
              </w:rPr>
            </w:pPr>
            <w:proofErr w:type="spellStart"/>
            <w:r w:rsidRPr="00D82B86">
              <w:rPr>
                <w:rFonts w:ascii="Segoe UI" w:hAnsi="Segoe UI" w:cs="Segoe UI"/>
                <w:b/>
                <w:bCs/>
                <w:color w:val="404040"/>
                <w:sz w:val="12"/>
                <w:szCs w:val="12"/>
                <w:lang w:val="en-MY" w:eastAsia="zh-CN"/>
              </w:rPr>
              <w:t>biGRU</w:t>
            </w:r>
            <w:proofErr w:type="spellEnd"/>
          </w:p>
        </w:tc>
        <w:tc>
          <w:tcPr>
            <w:tcW w:w="442" w:type="dxa"/>
            <w:tcBorders>
              <w:top w:val="single" w:sz="4" w:space="0" w:color="auto"/>
              <w:bottom w:val="single" w:sz="4" w:space="0" w:color="auto"/>
            </w:tcBorders>
            <w:hideMark/>
          </w:tcPr>
          <w:p w14:paraId="1DF0334F" w14:textId="77777777" w:rsidR="006D4236" w:rsidRPr="00D82B86" w:rsidRDefault="006D4236" w:rsidP="006D4236">
            <w:pPr>
              <w:ind w:firstLineChars="100" w:firstLine="120"/>
              <w:jc w:val="center"/>
              <w:rPr>
                <w:rFonts w:ascii="Segoe UI" w:hAnsi="Segoe UI" w:cs="Segoe UI"/>
                <w:b/>
                <w:bCs/>
                <w:color w:val="404040"/>
                <w:sz w:val="12"/>
                <w:szCs w:val="12"/>
                <w:lang w:val="en-MY" w:eastAsia="zh-CN"/>
              </w:rPr>
            </w:pPr>
            <w:r w:rsidRPr="00D82B86">
              <w:rPr>
                <w:rFonts w:ascii="Segoe UI" w:hAnsi="Segoe UI" w:cs="Segoe UI"/>
                <w:b/>
                <w:bCs/>
                <w:color w:val="404040"/>
                <w:sz w:val="12"/>
                <w:szCs w:val="12"/>
                <w:lang w:val="en-MY" w:eastAsia="zh-CN"/>
              </w:rPr>
              <w:t>CNN [6]</w:t>
            </w:r>
          </w:p>
        </w:tc>
        <w:tc>
          <w:tcPr>
            <w:tcW w:w="441" w:type="dxa"/>
            <w:tcBorders>
              <w:top w:val="single" w:sz="4" w:space="0" w:color="auto"/>
              <w:bottom w:val="single" w:sz="4" w:space="0" w:color="auto"/>
            </w:tcBorders>
            <w:hideMark/>
          </w:tcPr>
          <w:p w14:paraId="22ED1DFD" w14:textId="77777777" w:rsidR="006D4236" w:rsidRPr="00D82B86" w:rsidRDefault="006D4236" w:rsidP="006D4236">
            <w:pPr>
              <w:ind w:firstLineChars="100" w:firstLine="120"/>
              <w:jc w:val="center"/>
              <w:rPr>
                <w:rFonts w:ascii="Segoe UI" w:hAnsi="Segoe UI" w:cs="Segoe UI"/>
                <w:b/>
                <w:bCs/>
                <w:color w:val="404040"/>
                <w:sz w:val="12"/>
                <w:szCs w:val="12"/>
                <w:lang w:val="en-MY" w:eastAsia="zh-CN"/>
              </w:rPr>
            </w:pPr>
            <w:r w:rsidRPr="00D82B86">
              <w:rPr>
                <w:rFonts w:ascii="Segoe UI" w:hAnsi="Segoe UI" w:cs="Segoe UI"/>
                <w:b/>
                <w:bCs/>
                <w:color w:val="404040"/>
                <w:sz w:val="12"/>
                <w:szCs w:val="12"/>
                <w:lang w:val="en-MY" w:eastAsia="zh-CN"/>
              </w:rPr>
              <w:t>CNN-LSTM [7]</w:t>
            </w:r>
          </w:p>
        </w:tc>
        <w:tc>
          <w:tcPr>
            <w:tcW w:w="441" w:type="dxa"/>
            <w:tcBorders>
              <w:top w:val="single" w:sz="4" w:space="0" w:color="auto"/>
              <w:bottom w:val="single" w:sz="4" w:space="0" w:color="auto"/>
            </w:tcBorders>
            <w:hideMark/>
          </w:tcPr>
          <w:p w14:paraId="7DA446E7" w14:textId="77777777" w:rsidR="006D4236" w:rsidRPr="00D82B86" w:rsidRDefault="006D4236" w:rsidP="006D4236">
            <w:pPr>
              <w:ind w:firstLineChars="100" w:firstLine="120"/>
              <w:jc w:val="center"/>
              <w:rPr>
                <w:rFonts w:ascii="Segoe UI" w:hAnsi="Segoe UI" w:cs="Segoe UI"/>
                <w:b/>
                <w:bCs/>
                <w:color w:val="404040"/>
                <w:sz w:val="12"/>
                <w:szCs w:val="12"/>
                <w:lang w:val="en-MY" w:eastAsia="zh-CN"/>
              </w:rPr>
            </w:pPr>
            <w:r w:rsidRPr="00D82B86">
              <w:rPr>
                <w:rFonts w:ascii="Segoe UI" w:hAnsi="Segoe UI" w:cs="Segoe UI"/>
                <w:b/>
                <w:bCs/>
                <w:color w:val="404040"/>
                <w:sz w:val="12"/>
                <w:szCs w:val="12"/>
                <w:lang w:val="en-MY" w:eastAsia="zh-CN"/>
              </w:rPr>
              <w:t>Spec-CNN [8]</w:t>
            </w:r>
          </w:p>
        </w:tc>
        <w:tc>
          <w:tcPr>
            <w:tcW w:w="442" w:type="dxa"/>
            <w:tcBorders>
              <w:top w:val="single" w:sz="4" w:space="0" w:color="auto"/>
              <w:bottom w:val="single" w:sz="4" w:space="0" w:color="auto"/>
            </w:tcBorders>
            <w:hideMark/>
          </w:tcPr>
          <w:p w14:paraId="2240FD83" w14:textId="77777777" w:rsidR="006D4236" w:rsidRPr="00D82B86" w:rsidRDefault="006D4236" w:rsidP="006D4236">
            <w:pPr>
              <w:ind w:firstLineChars="100" w:firstLine="120"/>
              <w:jc w:val="center"/>
              <w:rPr>
                <w:rFonts w:ascii="Segoe UI" w:hAnsi="Segoe UI" w:cs="Segoe UI"/>
                <w:b/>
                <w:bCs/>
                <w:color w:val="404040"/>
                <w:sz w:val="12"/>
                <w:szCs w:val="12"/>
                <w:lang w:val="en-MY" w:eastAsia="zh-CN"/>
              </w:rPr>
            </w:pPr>
            <w:r w:rsidRPr="00D82B86">
              <w:rPr>
                <w:rFonts w:ascii="Segoe UI" w:hAnsi="Segoe UI" w:cs="Segoe UI"/>
                <w:b/>
                <w:bCs/>
                <w:color w:val="404040"/>
                <w:sz w:val="12"/>
                <w:szCs w:val="12"/>
                <w:lang w:val="en-MY" w:eastAsia="zh-CN"/>
              </w:rPr>
              <w:t>CNN-</w:t>
            </w:r>
            <w:proofErr w:type="spellStart"/>
            <w:r w:rsidRPr="00D82B86">
              <w:rPr>
                <w:rFonts w:ascii="Segoe UI" w:hAnsi="Segoe UI" w:cs="Segoe UI"/>
                <w:b/>
                <w:bCs/>
                <w:color w:val="404040"/>
                <w:sz w:val="12"/>
                <w:szCs w:val="12"/>
                <w:lang w:val="en-MY" w:eastAsia="zh-CN"/>
              </w:rPr>
              <w:t>BiRNN</w:t>
            </w:r>
            <w:proofErr w:type="spellEnd"/>
            <w:r w:rsidRPr="00D82B86">
              <w:rPr>
                <w:rFonts w:ascii="Segoe UI" w:hAnsi="Segoe UI" w:cs="Segoe UI"/>
                <w:b/>
                <w:bCs/>
                <w:color w:val="404040"/>
                <w:sz w:val="12"/>
                <w:szCs w:val="12"/>
                <w:lang w:val="en-MY" w:eastAsia="zh-CN"/>
              </w:rPr>
              <w:t xml:space="preserve"> [9]</w:t>
            </w:r>
          </w:p>
        </w:tc>
        <w:tc>
          <w:tcPr>
            <w:tcW w:w="441" w:type="dxa"/>
            <w:tcBorders>
              <w:top w:val="single" w:sz="4" w:space="0" w:color="auto"/>
              <w:bottom w:val="single" w:sz="4" w:space="0" w:color="auto"/>
            </w:tcBorders>
            <w:hideMark/>
          </w:tcPr>
          <w:p w14:paraId="324A4C27" w14:textId="77777777" w:rsidR="006D4236" w:rsidRPr="00D82B86" w:rsidRDefault="006D4236" w:rsidP="006D4236">
            <w:pPr>
              <w:ind w:firstLineChars="100" w:firstLine="120"/>
              <w:jc w:val="center"/>
              <w:rPr>
                <w:rFonts w:ascii="Segoe UI" w:hAnsi="Segoe UI" w:cs="Segoe UI"/>
                <w:b/>
                <w:bCs/>
                <w:color w:val="404040"/>
                <w:sz w:val="12"/>
                <w:szCs w:val="12"/>
                <w:lang w:val="en-MY" w:eastAsia="zh-CN"/>
              </w:rPr>
            </w:pPr>
            <w:r w:rsidRPr="00D82B86">
              <w:rPr>
                <w:rFonts w:ascii="Segoe UI" w:hAnsi="Segoe UI" w:cs="Segoe UI"/>
                <w:b/>
                <w:bCs/>
                <w:color w:val="404040"/>
                <w:sz w:val="12"/>
                <w:szCs w:val="12"/>
                <w:lang w:val="en-MY" w:eastAsia="zh-CN"/>
              </w:rPr>
              <w:t>CNN w/ Autoencoder [10]</w:t>
            </w:r>
          </w:p>
        </w:tc>
        <w:tc>
          <w:tcPr>
            <w:tcW w:w="442" w:type="dxa"/>
            <w:tcBorders>
              <w:top w:val="single" w:sz="4" w:space="0" w:color="auto"/>
              <w:bottom w:val="single" w:sz="4" w:space="0" w:color="auto"/>
            </w:tcBorders>
            <w:hideMark/>
          </w:tcPr>
          <w:p w14:paraId="67584B88" w14:textId="77777777" w:rsidR="006D4236" w:rsidRPr="00D82B86" w:rsidRDefault="006D4236" w:rsidP="006D4236">
            <w:pPr>
              <w:ind w:firstLineChars="100" w:firstLine="120"/>
              <w:jc w:val="center"/>
              <w:rPr>
                <w:rFonts w:ascii="Segoe UI" w:hAnsi="Segoe UI" w:cs="Segoe UI"/>
                <w:b/>
                <w:bCs/>
                <w:color w:val="404040"/>
                <w:sz w:val="12"/>
                <w:szCs w:val="12"/>
                <w:lang w:val="en-MY" w:eastAsia="zh-CN"/>
              </w:rPr>
            </w:pPr>
            <w:r w:rsidRPr="00D82B86">
              <w:rPr>
                <w:rFonts w:ascii="Segoe UI" w:hAnsi="Segoe UI" w:cs="Segoe UI"/>
                <w:b/>
                <w:bCs/>
                <w:color w:val="404040"/>
                <w:sz w:val="12"/>
                <w:szCs w:val="12"/>
                <w:lang w:val="en-MY" w:eastAsia="zh-CN"/>
              </w:rPr>
              <w:t>MLBCNN</w:t>
            </w:r>
          </w:p>
        </w:tc>
      </w:tr>
      <w:tr w:rsidR="006D4236" w:rsidRPr="00D82B86" w14:paraId="293CF8C7" w14:textId="77777777" w:rsidTr="008309BB">
        <w:trPr>
          <w:trHeight w:val="483"/>
          <w:jc w:val="center"/>
        </w:trPr>
        <w:tc>
          <w:tcPr>
            <w:tcW w:w="854" w:type="dxa"/>
            <w:tcBorders>
              <w:top w:val="single" w:sz="4" w:space="0" w:color="auto"/>
            </w:tcBorders>
            <w:hideMark/>
          </w:tcPr>
          <w:p w14:paraId="094ECD48" w14:textId="77777777" w:rsidR="006D4236" w:rsidRPr="00D82B86" w:rsidRDefault="006D4236" w:rsidP="006D4236">
            <w:pPr>
              <w:ind w:firstLineChars="100" w:firstLine="120"/>
              <w:jc w:val="center"/>
              <w:rPr>
                <w:rFonts w:ascii="Segoe UI" w:hAnsi="Segoe UI" w:cs="Segoe UI"/>
                <w:b/>
                <w:bCs/>
                <w:color w:val="404040"/>
                <w:sz w:val="12"/>
                <w:szCs w:val="12"/>
                <w:lang w:val="en-MY" w:eastAsia="zh-CN"/>
              </w:rPr>
            </w:pPr>
            <w:r w:rsidRPr="00D82B86">
              <w:rPr>
                <w:rFonts w:ascii="Segoe UI" w:hAnsi="Segoe UI" w:cs="Segoe UI"/>
                <w:b/>
                <w:bCs/>
                <w:color w:val="404040"/>
                <w:sz w:val="12"/>
                <w:szCs w:val="12"/>
                <w:lang w:val="en-MY" w:eastAsia="zh-CN"/>
              </w:rPr>
              <w:t>Accuracy</w:t>
            </w:r>
          </w:p>
          <w:p w14:paraId="322BA00E" w14:textId="6547A9ED" w:rsidR="006D4236" w:rsidRPr="00D82B86" w:rsidRDefault="006D4236" w:rsidP="006D4236">
            <w:pPr>
              <w:ind w:firstLineChars="100" w:firstLine="120"/>
              <w:jc w:val="center"/>
              <w:rPr>
                <w:rFonts w:ascii="Segoe UI" w:hAnsi="Segoe UI" w:cs="Segoe UI"/>
                <w:b/>
                <w:bCs/>
                <w:color w:val="404040"/>
                <w:sz w:val="12"/>
                <w:szCs w:val="12"/>
                <w:lang w:val="en-MY" w:eastAsia="zh-CN"/>
              </w:rPr>
            </w:pPr>
            <w:r w:rsidRPr="00D82B86">
              <w:rPr>
                <w:rFonts w:ascii="Segoe UI" w:hAnsi="Segoe UI" w:cs="Segoe UI"/>
                <w:b/>
                <w:bCs/>
                <w:color w:val="404040"/>
                <w:sz w:val="12"/>
                <w:szCs w:val="12"/>
                <w:lang w:val="en-MY" w:eastAsia="zh-CN"/>
              </w:rPr>
              <w:t>(%)</w:t>
            </w:r>
          </w:p>
        </w:tc>
        <w:tc>
          <w:tcPr>
            <w:tcW w:w="441" w:type="dxa"/>
            <w:tcBorders>
              <w:top w:val="single" w:sz="4" w:space="0" w:color="auto"/>
            </w:tcBorders>
            <w:hideMark/>
          </w:tcPr>
          <w:p w14:paraId="4EA7FAF3"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85.6</w:t>
            </w:r>
          </w:p>
        </w:tc>
        <w:tc>
          <w:tcPr>
            <w:tcW w:w="441" w:type="dxa"/>
            <w:tcBorders>
              <w:top w:val="single" w:sz="4" w:space="0" w:color="auto"/>
            </w:tcBorders>
            <w:hideMark/>
          </w:tcPr>
          <w:p w14:paraId="1D530928"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96.1</w:t>
            </w:r>
          </w:p>
        </w:tc>
        <w:tc>
          <w:tcPr>
            <w:tcW w:w="442" w:type="dxa"/>
            <w:tcBorders>
              <w:top w:val="single" w:sz="4" w:space="0" w:color="auto"/>
            </w:tcBorders>
            <w:hideMark/>
          </w:tcPr>
          <w:p w14:paraId="159304F2"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70.4</w:t>
            </w:r>
          </w:p>
        </w:tc>
        <w:tc>
          <w:tcPr>
            <w:tcW w:w="441" w:type="dxa"/>
            <w:tcBorders>
              <w:top w:val="single" w:sz="4" w:space="0" w:color="auto"/>
            </w:tcBorders>
            <w:hideMark/>
          </w:tcPr>
          <w:p w14:paraId="44318158"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63.6</w:t>
            </w:r>
          </w:p>
        </w:tc>
        <w:tc>
          <w:tcPr>
            <w:tcW w:w="441" w:type="dxa"/>
            <w:tcBorders>
              <w:top w:val="single" w:sz="4" w:space="0" w:color="auto"/>
            </w:tcBorders>
            <w:hideMark/>
          </w:tcPr>
          <w:p w14:paraId="3A3BE71C"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95.2</w:t>
            </w:r>
          </w:p>
        </w:tc>
        <w:tc>
          <w:tcPr>
            <w:tcW w:w="442" w:type="dxa"/>
            <w:tcBorders>
              <w:top w:val="single" w:sz="4" w:space="0" w:color="auto"/>
            </w:tcBorders>
            <w:hideMark/>
          </w:tcPr>
          <w:p w14:paraId="271DE45B"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90.4</w:t>
            </w:r>
          </w:p>
        </w:tc>
        <w:tc>
          <w:tcPr>
            <w:tcW w:w="441" w:type="dxa"/>
            <w:tcBorders>
              <w:top w:val="single" w:sz="4" w:space="0" w:color="auto"/>
            </w:tcBorders>
            <w:hideMark/>
          </w:tcPr>
          <w:p w14:paraId="40CE3FF7"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95.2</w:t>
            </w:r>
          </w:p>
        </w:tc>
        <w:tc>
          <w:tcPr>
            <w:tcW w:w="441" w:type="dxa"/>
            <w:tcBorders>
              <w:top w:val="single" w:sz="4" w:space="0" w:color="auto"/>
            </w:tcBorders>
            <w:hideMark/>
          </w:tcPr>
          <w:p w14:paraId="4378B674"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94.3</w:t>
            </w:r>
          </w:p>
        </w:tc>
        <w:tc>
          <w:tcPr>
            <w:tcW w:w="442" w:type="dxa"/>
            <w:tcBorders>
              <w:top w:val="single" w:sz="4" w:space="0" w:color="auto"/>
            </w:tcBorders>
            <w:hideMark/>
          </w:tcPr>
          <w:p w14:paraId="08FC642C"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96.6</w:t>
            </w:r>
          </w:p>
        </w:tc>
        <w:tc>
          <w:tcPr>
            <w:tcW w:w="441" w:type="dxa"/>
            <w:tcBorders>
              <w:top w:val="single" w:sz="4" w:space="0" w:color="auto"/>
            </w:tcBorders>
            <w:hideMark/>
          </w:tcPr>
          <w:p w14:paraId="559BB244"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89.2</w:t>
            </w:r>
          </w:p>
        </w:tc>
        <w:tc>
          <w:tcPr>
            <w:tcW w:w="442" w:type="dxa"/>
            <w:tcBorders>
              <w:top w:val="single" w:sz="4" w:space="0" w:color="auto"/>
            </w:tcBorders>
            <w:hideMark/>
          </w:tcPr>
          <w:p w14:paraId="5112C314"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91.1</w:t>
            </w:r>
          </w:p>
        </w:tc>
        <w:tc>
          <w:tcPr>
            <w:tcW w:w="441" w:type="dxa"/>
            <w:tcBorders>
              <w:top w:val="single" w:sz="4" w:space="0" w:color="auto"/>
            </w:tcBorders>
            <w:hideMark/>
          </w:tcPr>
          <w:p w14:paraId="57D2B114"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92.6</w:t>
            </w:r>
          </w:p>
        </w:tc>
        <w:tc>
          <w:tcPr>
            <w:tcW w:w="441" w:type="dxa"/>
            <w:tcBorders>
              <w:top w:val="single" w:sz="4" w:space="0" w:color="auto"/>
            </w:tcBorders>
            <w:hideMark/>
          </w:tcPr>
          <w:p w14:paraId="48E02BCD"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91.8</w:t>
            </w:r>
          </w:p>
        </w:tc>
        <w:tc>
          <w:tcPr>
            <w:tcW w:w="442" w:type="dxa"/>
            <w:tcBorders>
              <w:top w:val="single" w:sz="4" w:space="0" w:color="auto"/>
            </w:tcBorders>
            <w:hideMark/>
          </w:tcPr>
          <w:p w14:paraId="5AFD21A6"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95</w:t>
            </w:r>
          </w:p>
        </w:tc>
        <w:tc>
          <w:tcPr>
            <w:tcW w:w="441" w:type="dxa"/>
            <w:tcBorders>
              <w:top w:val="single" w:sz="4" w:space="0" w:color="auto"/>
            </w:tcBorders>
            <w:hideMark/>
          </w:tcPr>
          <w:p w14:paraId="3C00D6C4"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82</w:t>
            </w:r>
          </w:p>
        </w:tc>
        <w:tc>
          <w:tcPr>
            <w:tcW w:w="441" w:type="dxa"/>
            <w:tcBorders>
              <w:top w:val="single" w:sz="4" w:space="0" w:color="auto"/>
            </w:tcBorders>
            <w:hideMark/>
          </w:tcPr>
          <w:p w14:paraId="073BE18B"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87</w:t>
            </w:r>
          </w:p>
        </w:tc>
        <w:tc>
          <w:tcPr>
            <w:tcW w:w="442" w:type="dxa"/>
            <w:tcBorders>
              <w:top w:val="single" w:sz="4" w:space="0" w:color="auto"/>
            </w:tcBorders>
            <w:hideMark/>
          </w:tcPr>
          <w:p w14:paraId="1F4837C9"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w:t>
            </w:r>
          </w:p>
        </w:tc>
        <w:tc>
          <w:tcPr>
            <w:tcW w:w="441" w:type="dxa"/>
            <w:tcBorders>
              <w:top w:val="single" w:sz="4" w:space="0" w:color="auto"/>
            </w:tcBorders>
            <w:hideMark/>
          </w:tcPr>
          <w:p w14:paraId="3090ECE4"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92.5</w:t>
            </w:r>
          </w:p>
        </w:tc>
        <w:tc>
          <w:tcPr>
            <w:tcW w:w="442" w:type="dxa"/>
            <w:tcBorders>
              <w:top w:val="single" w:sz="4" w:space="0" w:color="auto"/>
            </w:tcBorders>
            <w:hideMark/>
          </w:tcPr>
          <w:p w14:paraId="42DCBC9F"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97.9</w:t>
            </w:r>
          </w:p>
        </w:tc>
      </w:tr>
      <w:tr w:rsidR="006D4236" w:rsidRPr="00D82B86" w14:paraId="4F245C52" w14:textId="77777777" w:rsidTr="008309BB">
        <w:trPr>
          <w:trHeight w:val="419"/>
          <w:jc w:val="center"/>
        </w:trPr>
        <w:tc>
          <w:tcPr>
            <w:tcW w:w="854" w:type="dxa"/>
            <w:hideMark/>
          </w:tcPr>
          <w:p w14:paraId="2320BC0B" w14:textId="77777777" w:rsidR="006D4236" w:rsidRPr="00D82B86" w:rsidRDefault="006D4236" w:rsidP="006D4236">
            <w:pPr>
              <w:ind w:firstLineChars="100" w:firstLine="120"/>
              <w:jc w:val="center"/>
              <w:rPr>
                <w:rFonts w:ascii="Segoe UI" w:hAnsi="Segoe UI" w:cs="Segoe UI"/>
                <w:b/>
                <w:bCs/>
                <w:color w:val="404040"/>
                <w:sz w:val="12"/>
                <w:szCs w:val="12"/>
                <w:lang w:val="en-MY" w:eastAsia="zh-CN"/>
              </w:rPr>
            </w:pPr>
            <w:r w:rsidRPr="00D82B86">
              <w:rPr>
                <w:rFonts w:ascii="Segoe UI" w:hAnsi="Segoe UI" w:cs="Segoe UI"/>
                <w:b/>
                <w:bCs/>
                <w:color w:val="404040"/>
                <w:sz w:val="12"/>
                <w:szCs w:val="12"/>
                <w:lang w:val="en-MY" w:eastAsia="zh-CN"/>
              </w:rPr>
              <w:t>Recall (%)</w:t>
            </w:r>
          </w:p>
        </w:tc>
        <w:tc>
          <w:tcPr>
            <w:tcW w:w="441" w:type="dxa"/>
            <w:hideMark/>
          </w:tcPr>
          <w:p w14:paraId="39DAABFE"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21.7</w:t>
            </w:r>
          </w:p>
        </w:tc>
        <w:tc>
          <w:tcPr>
            <w:tcW w:w="441" w:type="dxa"/>
            <w:hideMark/>
          </w:tcPr>
          <w:p w14:paraId="1504F961"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89.9</w:t>
            </w:r>
          </w:p>
        </w:tc>
        <w:tc>
          <w:tcPr>
            <w:tcW w:w="442" w:type="dxa"/>
            <w:hideMark/>
          </w:tcPr>
          <w:p w14:paraId="7ADFCA5D"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52.2</w:t>
            </w:r>
          </w:p>
        </w:tc>
        <w:tc>
          <w:tcPr>
            <w:tcW w:w="441" w:type="dxa"/>
            <w:hideMark/>
          </w:tcPr>
          <w:p w14:paraId="7663409A"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52.2</w:t>
            </w:r>
          </w:p>
        </w:tc>
        <w:tc>
          <w:tcPr>
            <w:tcW w:w="441" w:type="dxa"/>
            <w:hideMark/>
          </w:tcPr>
          <w:p w14:paraId="58B246A9"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86.5</w:t>
            </w:r>
          </w:p>
        </w:tc>
        <w:tc>
          <w:tcPr>
            <w:tcW w:w="442" w:type="dxa"/>
            <w:hideMark/>
          </w:tcPr>
          <w:p w14:paraId="4A4D9ED4"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84</w:t>
            </w:r>
          </w:p>
        </w:tc>
        <w:tc>
          <w:tcPr>
            <w:tcW w:w="441" w:type="dxa"/>
            <w:hideMark/>
          </w:tcPr>
          <w:p w14:paraId="1ED31843"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89.9</w:t>
            </w:r>
          </w:p>
        </w:tc>
        <w:tc>
          <w:tcPr>
            <w:tcW w:w="441" w:type="dxa"/>
            <w:hideMark/>
          </w:tcPr>
          <w:p w14:paraId="235695BD"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90.6</w:t>
            </w:r>
          </w:p>
        </w:tc>
        <w:tc>
          <w:tcPr>
            <w:tcW w:w="442" w:type="dxa"/>
            <w:hideMark/>
          </w:tcPr>
          <w:p w14:paraId="4BBB2D81"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92.3</w:t>
            </w:r>
          </w:p>
        </w:tc>
        <w:tc>
          <w:tcPr>
            <w:tcW w:w="441" w:type="dxa"/>
            <w:hideMark/>
          </w:tcPr>
          <w:p w14:paraId="66CD9064"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87.5</w:t>
            </w:r>
          </w:p>
        </w:tc>
        <w:tc>
          <w:tcPr>
            <w:tcW w:w="442" w:type="dxa"/>
            <w:hideMark/>
          </w:tcPr>
          <w:p w14:paraId="7729470F"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89.7</w:t>
            </w:r>
          </w:p>
        </w:tc>
        <w:tc>
          <w:tcPr>
            <w:tcW w:w="441" w:type="dxa"/>
            <w:hideMark/>
          </w:tcPr>
          <w:p w14:paraId="0597F886"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91.8</w:t>
            </w:r>
          </w:p>
        </w:tc>
        <w:tc>
          <w:tcPr>
            <w:tcW w:w="441" w:type="dxa"/>
            <w:hideMark/>
          </w:tcPr>
          <w:p w14:paraId="3225D9B6"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90.6</w:t>
            </w:r>
          </w:p>
        </w:tc>
        <w:tc>
          <w:tcPr>
            <w:tcW w:w="442" w:type="dxa"/>
            <w:hideMark/>
          </w:tcPr>
          <w:p w14:paraId="711DFB53"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w:t>
            </w:r>
          </w:p>
        </w:tc>
        <w:tc>
          <w:tcPr>
            <w:tcW w:w="441" w:type="dxa"/>
            <w:hideMark/>
          </w:tcPr>
          <w:p w14:paraId="263F81AF"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w:t>
            </w:r>
          </w:p>
        </w:tc>
        <w:tc>
          <w:tcPr>
            <w:tcW w:w="441" w:type="dxa"/>
            <w:hideMark/>
          </w:tcPr>
          <w:p w14:paraId="6D5EEB04"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w:t>
            </w:r>
          </w:p>
        </w:tc>
        <w:tc>
          <w:tcPr>
            <w:tcW w:w="442" w:type="dxa"/>
            <w:hideMark/>
          </w:tcPr>
          <w:p w14:paraId="6D6AED7D"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w:t>
            </w:r>
          </w:p>
        </w:tc>
        <w:tc>
          <w:tcPr>
            <w:tcW w:w="441" w:type="dxa"/>
            <w:hideMark/>
          </w:tcPr>
          <w:p w14:paraId="3A25CA20"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w:t>
            </w:r>
          </w:p>
        </w:tc>
        <w:tc>
          <w:tcPr>
            <w:tcW w:w="442" w:type="dxa"/>
            <w:hideMark/>
          </w:tcPr>
          <w:p w14:paraId="56C7EEE3"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94.4</w:t>
            </w:r>
          </w:p>
        </w:tc>
      </w:tr>
      <w:tr w:rsidR="006D4236" w:rsidRPr="00D82B86" w14:paraId="33CD9E95" w14:textId="77777777" w:rsidTr="008309BB">
        <w:trPr>
          <w:trHeight w:val="411"/>
          <w:jc w:val="center"/>
        </w:trPr>
        <w:tc>
          <w:tcPr>
            <w:tcW w:w="854" w:type="dxa"/>
            <w:hideMark/>
          </w:tcPr>
          <w:p w14:paraId="40F6982C" w14:textId="77777777" w:rsidR="006D4236" w:rsidRPr="00D82B86" w:rsidRDefault="006D4236" w:rsidP="006D4236">
            <w:pPr>
              <w:ind w:firstLineChars="100" w:firstLine="120"/>
              <w:jc w:val="center"/>
              <w:rPr>
                <w:rFonts w:ascii="Segoe UI" w:hAnsi="Segoe UI" w:cs="Segoe UI"/>
                <w:b/>
                <w:bCs/>
                <w:color w:val="404040"/>
                <w:sz w:val="12"/>
                <w:szCs w:val="12"/>
                <w:lang w:val="en-MY" w:eastAsia="zh-CN"/>
              </w:rPr>
            </w:pPr>
            <w:r w:rsidRPr="00D82B86">
              <w:rPr>
                <w:rFonts w:ascii="Segoe UI" w:hAnsi="Segoe UI" w:cs="Segoe UI"/>
                <w:b/>
                <w:bCs/>
                <w:color w:val="404040"/>
                <w:sz w:val="12"/>
                <w:szCs w:val="12"/>
                <w:lang w:val="en-MY" w:eastAsia="zh-CN"/>
              </w:rPr>
              <w:t>Precision (%)</w:t>
            </w:r>
          </w:p>
        </w:tc>
        <w:tc>
          <w:tcPr>
            <w:tcW w:w="441" w:type="dxa"/>
            <w:hideMark/>
          </w:tcPr>
          <w:p w14:paraId="4F38966B"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100</w:t>
            </w:r>
          </w:p>
        </w:tc>
        <w:tc>
          <w:tcPr>
            <w:tcW w:w="441" w:type="dxa"/>
            <w:hideMark/>
          </w:tcPr>
          <w:p w14:paraId="48EF56D2"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88.8</w:t>
            </w:r>
          </w:p>
        </w:tc>
        <w:tc>
          <w:tcPr>
            <w:tcW w:w="442" w:type="dxa"/>
            <w:hideMark/>
          </w:tcPr>
          <w:p w14:paraId="20E288DD"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31.6</w:t>
            </w:r>
          </w:p>
        </w:tc>
        <w:tc>
          <w:tcPr>
            <w:tcW w:w="441" w:type="dxa"/>
            <w:hideMark/>
          </w:tcPr>
          <w:p w14:paraId="2DA94035"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25.9</w:t>
            </w:r>
          </w:p>
        </w:tc>
        <w:tc>
          <w:tcPr>
            <w:tcW w:w="441" w:type="dxa"/>
            <w:hideMark/>
          </w:tcPr>
          <w:p w14:paraId="5110F464"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87.6</w:t>
            </w:r>
          </w:p>
        </w:tc>
        <w:tc>
          <w:tcPr>
            <w:tcW w:w="442" w:type="dxa"/>
            <w:hideMark/>
          </w:tcPr>
          <w:p w14:paraId="127C7094"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69.9</w:t>
            </w:r>
          </w:p>
        </w:tc>
        <w:tc>
          <w:tcPr>
            <w:tcW w:w="441" w:type="dxa"/>
            <w:hideMark/>
          </w:tcPr>
          <w:p w14:paraId="4AF7A5D9"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84.9</w:t>
            </w:r>
          </w:p>
        </w:tc>
        <w:tc>
          <w:tcPr>
            <w:tcW w:w="441" w:type="dxa"/>
            <w:hideMark/>
          </w:tcPr>
          <w:p w14:paraId="19A245A2"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80.7</w:t>
            </w:r>
          </w:p>
        </w:tc>
        <w:tc>
          <w:tcPr>
            <w:tcW w:w="442" w:type="dxa"/>
            <w:hideMark/>
          </w:tcPr>
          <w:p w14:paraId="01561C7D"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87.6</w:t>
            </w:r>
          </w:p>
        </w:tc>
        <w:tc>
          <w:tcPr>
            <w:tcW w:w="441" w:type="dxa"/>
            <w:hideMark/>
          </w:tcPr>
          <w:p w14:paraId="5F8FA992"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82</w:t>
            </w:r>
          </w:p>
        </w:tc>
        <w:tc>
          <w:tcPr>
            <w:tcW w:w="442" w:type="dxa"/>
            <w:hideMark/>
          </w:tcPr>
          <w:p w14:paraId="25692ECB"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88.2</w:t>
            </w:r>
          </w:p>
        </w:tc>
        <w:tc>
          <w:tcPr>
            <w:tcW w:w="441" w:type="dxa"/>
            <w:hideMark/>
          </w:tcPr>
          <w:p w14:paraId="4F34DE23"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85.1</w:t>
            </w:r>
          </w:p>
        </w:tc>
        <w:tc>
          <w:tcPr>
            <w:tcW w:w="441" w:type="dxa"/>
            <w:hideMark/>
          </w:tcPr>
          <w:p w14:paraId="3A3ACDFD"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83.2</w:t>
            </w:r>
          </w:p>
        </w:tc>
        <w:tc>
          <w:tcPr>
            <w:tcW w:w="442" w:type="dxa"/>
            <w:hideMark/>
          </w:tcPr>
          <w:p w14:paraId="7CFD449D"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w:t>
            </w:r>
          </w:p>
        </w:tc>
        <w:tc>
          <w:tcPr>
            <w:tcW w:w="441" w:type="dxa"/>
            <w:hideMark/>
          </w:tcPr>
          <w:p w14:paraId="1B3E35D8"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w:t>
            </w:r>
          </w:p>
        </w:tc>
        <w:tc>
          <w:tcPr>
            <w:tcW w:w="441" w:type="dxa"/>
            <w:hideMark/>
          </w:tcPr>
          <w:p w14:paraId="3CA46E38"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w:t>
            </w:r>
          </w:p>
        </w:tc>
        <w:tc>
          <w:tcPr>
            <w:tcW w:w="442" w:type="dxa"/>
            <w:hideMark/>
          </w:tcPr>
          <w:p w14:paraId="0B253084"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92.88</w:t>
            </w:r>
          </w:p>
        </w:tc>
        <w:tc>
          <w:tcPr>
            <w:tcW w:w="441" w:type="dxa"/>
            <w:hideMark/>
          </w:tcPr>
          <w:p w14:paraId="2CC2E716"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w:t>
            </w:r>
          </w:p>
        </w:tc>
        <w:tc>
          <w:tcPr>
            <w:tcW w:w="442" w:type="dxa"/>
            <w:hideMark/>
          </w:tcPr>
          <w:p w14:paraId="4C27F422"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95.5</w:t>
            </w:r>
          </w:p>
        </w:tc>
      </w:tr>
      <w:tr w:rsidR="006D4236" w:rsidRPr="00D82B86" w14:paraId="5FDFAFBF" w14:textId="77777777" w:rsidTr="008309BB">
        <w:trPr>
          <w:trHeight w:val="416"/>
          <w:jc w:val="center"/>
        </w:trPr>
        <w:tc>
          <w:tcPr>
            <w:tcW w:w="854" w:type="dxa"/>
            <w:tcBorders>
              <w:bottom w:val="single" w:sz="4" w:space="0" w:color="auto"/>
            </w:tcBorders>
            <w:hideMark/>
          </w:tcPr>
          <w:p w14:paraId="724998FC" w14:textId="77777777" w:rsidR="006D4236" w:rsidRPr="00D82B86" w:rsidRDefault="006D4236" w:rsidP="006D4236">
            <w:pPr>
              <w:ind w:firstLineChars="100" w:firstLine="120"/>
              <w:jc w:val="center"/>
              <w:rPr>
                <w:rFonts w:ascii="Segoe UI" w:hAnsi="Segoe UI" w:cs="Segoe UI"/>
                <w:b/>
                <w:bCs/>
                <w:color w:val="404040"/>
                <w:sz w:val="12"/>
                <w:szCs w:val="12"/>
                <w:lang w:val="en-MY" w:eastAsia="zh-CN"/>
              </w:rPr>
            </w:pPr>
            <w:r w:rsidRPr="00D82B86">
              <w:rPr>
                <w:rFonts w:ascii="Segoe UI" w:hAnsi="Segoe UI" w:cs="Segoe UI"/>
                <w:b/>
                <w:bCs/>
                <w:color w:val="404040"/>
                <w:sz w:val="12"/>
                <w:szCs w:val="12"/>
                <w:lang w:val="en-MY" w:eastAsia="zh-CN"/>
              </w:rPr>
              <w:t>Specificity (%)</w:t>
            </w:r>
          </w:p>
        </w:tc>
        <w:tc>
          <w:tcPr>
            <w:tcW w:w="441" w:type="dxa"/>
            <w:tcBorders>
              <w:bottom w:val="single" w:sz="4" w:space="0" w:color="auto"/>
            </w:tcBorders>
            <w:hideMark/>
          </w:tcPr>
          <w:p w14:paraId="0C7EFA1B"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100</w:t>
            </w:r>
          </w:p>
        </w:tc>
        <w:tc>
          <w:tcPr>
            <w:tcW w:w="441" w:type="dxa"/>
            <w:tcBorders>
              <w:bottom w:val="single" w:sz="4" w:space="0" w:color="auto"/>
            </w:tcBorders>
            <w:hideMark/>
          </w:tcPr>
          <w:p w14:paraId="7E4D8957"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97.3</w:t>
            </w:r>
          </w:p>
        </w:tc>
        <w:tc>
          <w:tcPr>
            <w:tcW w:w="442" w:type="dxa"/>
            <w:tcBorders>
              <w:bottom w:val="single" w:sz="4" w:space="0" w:color="auto"/>
            </w:tcBorders>
            <w:hideMark/>
          </w:tcPr>
          <w:p w14:paraId="7F9ABCE5"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74.5</w:t>
            </w:r>
          </w:p>
        </w:tc>
        <w:tc>
          <w:tcPr>
            <w:tcW w:w="441" w:type="dxa"/>
            <w:tcBorders>
              <w:bottom w:val="single" w:sz="4" w:space="0" w:color="auto"/>
            </w:tcBorders>
            <w:hideMark/>
          </w:tcPr>
          <w:p w14:paraId="6E4DABC7"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66.2</w:t>
            </w:r>
          </w:p>
        </w:tc>
        <w:tc>
          <w:tcPr>
            <w:tcW w:w="441" w:type="dxa"/>
            <w:tcBorders>
              <w:bottom w:val="single" w:sz="4" w:space="0" w:color="auto"/>
            </w:tcBorders>
            <w:hideMark/>
          </w:tcPr>
          <w:p w14:paraId="34C3E49C"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97.2</w:t>
            </w:r>
          </w:p>
        </w:tc>
        <w:tc>
          <w:tcPr>
            <w:tcW w:w="442" w:type="dxa"/>
            <w:tcBorders>
              <w:bottom w:val="single" w:sz="4" w:space="0" w:color="auto"/>
            </w:tcBorders>
            <w:hideMark/>
          </w:tcPr>
          <w:p w14:paraId="5A25FD20"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91.8</w:t>
            </w:r>
          </w:p>
        </w:tc>
        <w:tc>
          <w:tcPr>
            <w:tcW w:w="441" w:type="dxa"/>
            <w:tcBorders>
              <w:bottom w:val="single" w:sz="4" w:space="0" w:color="auto"/>
            </w:tcBorders>
            <w:hideMark/>
          </w:tcPr>
          <w:p w14:paraId="7E6CA743"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96.4</w:t>
            </w:r>
          </w:p>
        </w:tc>
        <w:tc>
          <w:tcPr>
            <w:tcW w:w="441" w:type="dxa"/>
            <w:tcBorders>
              <w:bottom w:val="single" w:sz="4" w:space="0" w:color="auto"/>
            </w:tcBorders>
            <w:hideMark/>
          </w:tcPr>
          <w:p w14:paraId="2959B219"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95.1</w:t>
            </w:r>
          </w:p>
        </w:tc>
        <w:tc>
          <w:tcPr>
            <w:tcW w:w="442" w:type="dxa"/>
            <w:tcBorders>
              <w:bottom w:val="single" w:sz="4" w:space="0" w:color="auto"/>
            </w:tcBorders>
            <w:hideMark/>
          </w:tcPr>
          <w:p w14:paraId="71122D30"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96.9</w:t>
            </w:r>
          </w:p>
        </w:tc>
        <w:tc>
          <w:tcPr>
            <w:tcW w:w="441" w:type="dxa"/>
            <w:tcBorders>
              <w:bottom w:val="single" w:sz="4" w:space="0" w:color="auto"/>
            </w:tcBorders>
            <w:hideMark/>
          </w:tcPr>
          <w:p w14:paraId="615C8EE9"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84</w:t>
            </w:r>
          </w:p>
        </w:tc>
        <w:tc>
          <w:tcPr>
            <w:tcW w:w="442" w:type="dxa"/>
            <w:tcBorders>
              <w:bottom w:val="single" w:sz="4" w:space="0" w:color="auto"/>
            </w:tcBorders>
            <w:hideMark/>
          </w:tcPr>
          <w:p w14:paraId="36E35FE1"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90.8</w:t>
            </w:r>
          </w:p>
        </w:tc>
        <w:tc>
          <w:tcPr>
            <w:tcW w:w="441" w:type="dxa"/>
            <w:tcBorders>
              <w:bottom w:val="single" w:sz="4" w:space="0" w:color="auto"/>
            </w:tcBorders>
            <w:hideMark/>
          </w:tcPr>
          <w:p w14:paraId="4BE20F68"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92</w:t>
            </w:r>
          </w:p>
        </w:tc>
        <w:tc>
          <w:tcPr>
            <w:tcW w:w="441" w:type="dxa"/>
            <w:tcBorders>
              <w:bottom w:val="single" w:sz="4" w:space="0" w:color="auto"/>
            </w:tcBorders>
            <w:hideMark/>
          </w:tcPr>
          <w:p w14:paraId="3A75EC5D"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86.4</w:t>
            </w:r>
          </w:p>
        </w:tc>
        <w:tc>
          <w:tcPr>
            <w:tcW w:w="442" w:type="dxa"/>
            <w:tcBorders>
              <w:bottom w:val="single" w:sz="4" w:space="0" w:color="auto"/>
            </w:tcBorders>
            <w:hideMark/>
          </w:tcPr>
          <w:p w14:paraId="58F96E9F"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w:t>
            </w:r>
          </w:p>
        </w:tc>
        <w:tc>
          <w:tcPr>
            <w:tcW w:w="441" w:type="dxa"/>
            <w:tcBorders>
              <w:bottom w:val="single" w:sz="4" w:space="0" w:color="auto"/>
            </w:tcBorders>
            <w:hideMark/>
          </w:tcPr>
          <w:p w14:paraId="7415A47F"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w:t>
            </w:r>
          </w:p>
        </w:tc>
        <w:tc>
          <w:tcPr>
            <w:tcW w:w="441" w:type="dxa"/>
            <w:tcBorders>
              <w:bottom w:val="single" w:sz="4" w:space="0" w:color="auto"/>
            </w:tcBorders>
            <w:hideMark/>
          </w:tcPr>
          <w:p w14:paraId="7D549B10"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w:t>
            </w:r>
          </w:p>
        </w:tc>
        <w:tc>
          <w:tcPr>
            <w:tcW w:w="442" w:type="dxa"/>
            <w:tcBorders>
              <w:bottom w:val="single" w:sz="4" w:space="0" w:color="auto"/>
            </w:tcBorders>
            <w:hideMark/>
          </w:tcPr>
          <w:p w14:paraId="31CDA9A0"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93.94</w:t>
            </w:r>
          </w:p>
        </w:tc>
        <w:tc>
          <w:tcPr>
            <w:tcW w:w="441" w:type="dxa"/>
            <w:tcBorders>
              <w:bottom w:val="single" w:sz="4" w:space="0" w:color="auto"/>
            </w:tcBorders>
            <w:hideMark/>
          </w:tcPr>
          <w:p w14:paraId="39F13FDC"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w:t>
            </w:r>
          </w:p>
        </w:tc>
        <w:tc>
          <w:tcPr>
            <w:tcW w:w="442" w:type="dxa"/>
            <w:tcBorders>
              <w:bottom w:val="single" w:sz="4" w:space="0" w:color="auto"/>
            </w:tcBorders>
            <w:hideMark/>
          </w:tcPr>
          <w:p w14:paraId="772BA180" w14:textId="77777777" w:rsidR="006D4236" w:rsidRPr="00D82B86" w:rsidRDefault="006D4236" w:rsidP="006D4236">
            <w:pPr>
              <w:ind w:firstLineChars="100" w:firstLine="120"/>
              <w:jc w:val="center"/>
              <w:rPr>
                <w:rFonts w:ascii="Segoe UI" w:hAnsi="Segoe UI" w:cs="Segoe UI"/>
                <w:color w:val="404040"/>
                <w:sz w:val="12"/>
                <w:szCs w:val="12"/>
                <w:lang w:val="en-MY" w:eastAsia="zh-CN"/>
              </w:rPr>
            </w:pPr>
            <w:r w:rsidRPr="00D82B86">
              <w:rPr>
                <w:rFonts w:ascii="Segoe UI" w:hAnsi="Segoe UI" w:cs="Segoe UI"/>
                <w:color w:val="404040"/>
                <w:sz w:val="12"/>
                <w:szCs w:val="12"/>
                <w:lang w:val="en-MY" w:eastAsia="zh-CN"/>
              </w:rPr>
              <w:t>98.8</w:t>
            </w:r>
          </w:p>
        </w:tc>
      </w:tr>
    </w:tbl>
    <w:p w14:paraId="7F4294EB" w14:textId="77777777" w:rsidR="006D4236" w:rsidRPr="00D82B86" w:rsidRDefault="006D4236" w:rsidP="00B763A8">
      <w:pPr>
        <w:pStyle w:val="Paragraph"/>
        <w:jc w:val="center"/>
      </w:pPr>
    </w:p>
    <w:p w14:paraId="32060EEB" w14:textId="62D8957B" w:rsidR="00584CD8" w:rsidRPr="00D82B86" w:rsidRDefault="00331400" w:rsidP="0057213E">
      <w:pPr>
        <w:pStyle w:val="Paragraph"/>
      </w:pPr>
      <w:r w:rsidRPr="00D82B86">
        <w:t>The MLBCNN uses a simple 3-layer CNN with metric loss, achieving a higher accuracy (97.9%) than complex networks, without overfitting, and stays computationally efficient, unlike CNN-</w:t>
      </w:r>
      <w:proofErr w:type="spellStart"/>
      <w:r w:rsidRPr="00D82B86">
        <w:t>biRNN</w:t>
      </w:r>
      <w:proofErr w:type="spellEnd"/>
      <w:r w:rsidRPr="00D82B86">
        <w:t xml:space="preserve"> [9] and CNN-</w:t>
      </w:r>
      <w:proofErr w:type="spellStart"/>
      <w:r w:rsidRPr="00D82B86">
        <w:t>biLSTM</w:t>
      </w:r>
      <w:proofErr w:type="spellEnd"/>
      <w:r w:rsidRPr="00D82B86">
        <w:t xml:space="preserve"> [10] hybrids. Instead of discarding important phase data during the time-frequency transformation seen in [8], our method </w:t>
      </w:r>
      <w:proofErr w:type="gramStart"/>
      <w:r w:rsidR="003B7F80" w:rsidRPr="00D82B86">
        <w:t xml:space="preserve">is </w:t>
      </w:r>
      <w:r w:rsidRPr="00D82B86">
        <w:t>able to</w:t>
      </w:r>
      <w:proofErr w:type="gramEnd"/>
      <w:r w:rsidRPr="00D82B86">
        <w:t xml:space="preserve"> distinguish distinct EEG features in a way that keeps </w:t>
      </w:r>
      <w:proofErr w:type="gramStart"/>
      <w:r w:rsidRPr="00D82B86">
        <w:t>all of</w:t>
      </w:r>
      <w:proofErr w:type="gramEnd"/>
      <w:r w:rsidRPr="00D82B86">
        <w:t xml:space="preserve"> the hidden patterns. In addition, while Zhou et al. [9] need preprocessed time-frequency data, MLBCNN can use raw EEG signals without doing feature engineering, allowing it to help more easily in clinical situations where knowledge of preprocessing may not be available. Contributed by its simple architecture, versatile input options, and metric-sensitive learning features, MLBCNN is both a top performer and a useful tool for real seizure detection</w:t>
      </w:r>
      <w:r w:rsidR="00D77A27" w:rsidRPr="00D82B86">
        <w:t xml:space="preserve">. </w:t>
      </w:r>
      <w:r w:rsidR="004660E0" w:rsidRPr="00D82B86">
        <w:t>From the empirical findings, it can be observed that the</w:t>
      </w:r>
      <w:r w:rsidR="00584CD8" w:rsidRPr="00D82B86">
        <w:t xml:space="preserve"> proposed MLBCNN scores the best performance overall. It exhibits the highest precision and specificity among the deep neural networks. This implies that the MLBCNN is less prone to generating false positive results, making it </w:t>
      </w:r>
      <w:r w:rsidR="00EC2B92" w:rsidRPr="00D82B86">
        <w:t xml:space="preserve">the best choice </w:t>
      </w:r>
      <w:r w:rsidR="00584CD8" w:rsidRPr="00D82B86">
        <w:t xml:space="preserve">for minimizing such errors in this task. Nonetheless, the MLBCNN has </w:t>
      </w:r>
      <w:r w:rsidR="002D349E">
        <w:t>attained</w:t>
      </w:r>
      <w:r w:rsidR="008767F2">
        <w:t xml:space="preserve"> </w:t>
      </w:r>
      <w:r w:rsidR="00584CD8" w:rsidRPr="00D82B86">
        <w:t xml:space="preserve">the </w:t>
      </w:r>
      <w:r w:rsidR="008767F2">
        <w:t>best</w:t>
      </w:r>
      <w:r w:rsidR="00584CD8" w:rsidRPr="00D82B86">
        <w:t xml:space="preserve"> accuracy of 97.9% and a recall rate of 94.4%. These findings suggest that the MLBCNN can accurately identify the seizure and </w:t>
      </w:r>
      <w:r w:rsidR="008767F2">
        <w:t>healthy</w:t>
      </w:r>
      <w:r w:rsidR="00584CD8" w:rsidRPr="00D82B86">
        <w:t xml:space="preserve"> EEG signals, with a minimal rate of failing to identify positive instances. These characteristics conclude that our proposed MLBCNN is a highly reliable deep neural network for epileptic seizure diagnosis.</w:t>
      </w:r>
    </w:p>
    <w:p w14:paraId="4FE5D991" w14:textId="5BD76DBC" w:rsidR="00584CD8" w:rsidRPr="00D82B86" w:rsidRDefault="00584CD8" w:rsidP="00584CD8">
      <w:pPr>
        <w:pStyle w:val="Heading1"/>
      </w:pPr>
      <w:r w:rsidRPr="00D82B86">
        <w:t>Conclusion</w:t>
      </w:r>
    </w:p>
    <w:p w14:paraId="69688B4D" w14:textId="77777777" w:rsidR="008309BB" w:rsidRDefault="00584CD8" w:rsidP="008309BB">
      <w:pPr>
        <w:pStyle w:val="Paragraph"/>
      </w:pPr>
      <w:r w:rsidRPr="00D82B86">
        <w:t>The study proposes an enhanced CNN model for EEG-based seizure detection using the Metric Learning Based Convolutional Neural Network (MLBCNN), a deep neural network</w:t>
      </w:r>
      <w:r w:rsidR="008767F2">
        <w:t>. With the incorporation of</w:t>
      </w:r>
      <w:r w:rsidRPr="00D82B86">
        <w:t xml:space="preserve"> metric learning principles </w:t>
      </w:r>
      <w:r w:rsidR="008767F2">
        <w:t>during</w:t>
      </w:r>
      <w:r w:rsidRPr="00D82B86">
        <w:t xml:space="preserve"> the CNN training process, our proposed MLBCNN rectifies the challenges posed by data sparsity inherent in EEG signals. The incorporation of metric learning improves CNN’s ability to organize feature vectors, promoting the clustering of EEG waveforms from the same class. The empirical results demonstrate that the proposed model exhibits the highest accuracy of 97.9% and </w:t>
      </w:r>
      <w:r w:rsidR="003B7F80" w:rsidRPr="00D82B86">
        <w:t xml:space="preserve">a </w:t>
      </w:r>
      <w:r w:rsidRPr="00D82B86">
        <w:t xml:space="preserve">recall </w:t>
      </w:r>
      <w:r w:rsidR="00485D0D" w:rsidRPr="00D82B86">
        <w:t xml:space="preserve">rate </w:t>
      </w:r>
      <w:r w:rsidRPr="00D82B86">
        <w:t xml:space="preserve">of 94.4%. These findings highlight the reliability of the proposed model in effectively distinguishing the seizure and non-seizure EEG signals, with a minimal occurrence of false negatives. This concludes that our proposed MLBCNN is a highly reliable deep neural network for epileptic seizure diagnosis. These findings hold the potential for improving the quality of life for </w:t>
      </w:r>
      <w:proofErr w:type="gramStart"/>
      <w:r w:rsidRPr="00D82B86">
        <w:t>persons</w:t>
      </w:r>
      <w:proofErr w:type="gramEnd"/>
      <w:r w:rsidRPr="00D82B86">
        <w:t xml:space="preserve"> impacted by epilepsy and serve as a noteworthy </w:t>
      </w:r>
      <w:r w:rsidR="00485D0D" w:rsidRPr="00D82B86">
        <w:t>illustration</w:t>
      </w:r>
      <w:r w:rsidRPr="00D82B86">
        <w:t xml:space="preserve"> of the capabilities of artificial intelligence within the healthcare domain. </w:t>
      </w:r>
      <w:r w:rsidR="008309BB">
        <w:t xml:space="preserve"> </w:t>
      </w:r>
    </w:p>
    <w:p w14:paraId="78E16180" w14:textId="77777777" w:rsidR="008309BB" w:rsidRDefault="008309BB" w:rsidP="008309BB">
      <w:pPr>
        <w:pStyle w:val="Heading1"/>
      </w:pPr>
      <w:r w:rsidRPr="00D82B86">
        <w:t>Acknowledgments</w:t>
      </w:r>
    </w:p>
    <w:p w14:paraId="7966633B" w14:textId="77777777" w:rsidR="008309BB" w:rsidRPr="00D82B86" w:rsidRDefault="008309BB" w:rsidP="008309BB">
      <w:pPr>
        <w:pStyle w:val="Heading1"/>
        <w:spacing w:before="0" w:after="0"/>
      </w:pPr>
      <w:r w:rsidRPr="00D82B86">
        <w:rPr>
          <w:b w:val="0"/>
          <w:caps w:val="0"/>
          <w:sz w:val="20"/>
        </w:rPr>
        <w:t>This research is supported by MMU Postdoctoral Research Fellow Grant, MMUI/240020.</w:t>
      </w:r>
    </w:p>
    <w:p w14:paraId="5B731088" w14:textId="77777777" w:rsidR="008309BB" w:rsidRDefault="008309BB" w:rsidP="008309BB">
      <w:pPr>
        <w:pStyle w:val="Heading1"/>
        <w:spacing w:before="0" w:after="0"/>
        <w:rPr>
          <w:rFonts w:asciiTheme="majorBidi" w:hAnsiTheme="majorBidi" w:cstheme="majorBidi"/>
        </w:rPr>
      </w:pPr>
    </w:p>
    <w:p w14:paraId="69B8F3F1" w14:textId="77777777" w:rsidR="008309BB" w:rsidRDefault="008309BB" w:rsidP="008309BB">
      <w:pPr>
        <w:pStyle w:val="Paragraph"/>
      </w:pPr>
    </w:p>
    <w:p w14:paraId="1CA30331" w14:textId="77777777" w:rsidR="008309BB" w:rsidRDefault="008309BB" w:rsidP="008309BB">
      <w:pPr>
        <w:pStyle w:val="Paragraph"/>
      </w:pPr>
    </w:p>
    <w:p w14:paraId="7D584DE9" w14:textId="77777777" w:rsidR="008309BB" w:rsidRPr="008309BB" w:rsidRDefault="008309BB" w:rsidP="008309BB">
      <w:pPr>
        <w:pStyle w:val="Paragraph"/>
      </w:pPr>
    </w:p>
    <w:p w14:paraId="16F21B4D" w14:textId="6B775133" w:rsidR="00613B4D" w:rsidRPr="00D82B86" w:rsidRDefault="0016385D" w:rsidP="00613B4D">
      <w:pPr>
        <w:pStyle w:val="Heading1"/>
        <w:rPr>
          <w:b w:val="0"/>
          <w:caps w:val="0"/>
          <w:sz w:val="20"/>
        </w:rPr>
      </w:pPr>
      <w:r w:rsidRPr="00D82B86">
        <w:rPr>
          <w:rFonts w:asciiTheme="majorBidi" w:hAnsiTheme="majorBidi" w:cstheme="majorBidi"/>
        </w:rPr>
        <w:lastRenderedPageBreak/>
        <w:t>References</w:t>
      </w:r>
    </w:p>
    <w:p w14:paraId="6BC261D8" w14:textId="77777777" w:rsidR="00985FBC" w:rsidRPr="00985FBC" w:rsidRDefault="00985FBC" w:rsidP="00985FBC">
      <w:pPr>
        <w:pStyle w:val="MDPI71References"/>
        <w:numPr>
          <w:ilvl w:val="0"/>
          <w:numId w:val="47"/>
        </w:numPr>
        <w:spacing w:line="240" w:lineRule="auto"/>
        <w:ind w:left="425" w:hanging="425"/>
        <w:rPr>
          <w:rFonts w:ascii="Times New Roman" w:hAnsi="Times New Roman"/>
          <w:sz w:val="20"/>
          <w:lang w:val="en-MY"/>
        </w:rPr>
      </w:pPr>
      <w:r w:rsidRPr="00985FBC">
        <w:rPr>
          <w:rFonts w:ascii="Times New Roman" w:hAnsi="Times New Roman"/>
          <w:sz w:val="20"/>
          <w:lang w:val="en-MY"/>
        </w:rPr>
        <w:t xml:space="preserve">R.S. Fisher, J.H. Cross, J.A. French, N. </w:t>
      </w:r>
      <w:proofErr w:type="spellStart"/>
      <w:r w:rsidRPr="00985FBC">
        <w:rPr>
          <w:rFonts w:ascii="Times New Roman" w:hAnsi="Times New Roman"/>
          <w:sz w:val="20"/>
          <w:lang w:val="en-MY"/>
        </w:rPr>
        <w:t>Higurashi</w:t>
      </w:r>
      <w:proofErr w:type="spellEnd"/>
      <w:r w:rsidRPr="00985FBC">
        <w:rPr>
          <w:rFonts w:ascii="Times New Roman" w:hAnsi="Times New Roman"/>
          <w:sz w:val="20"/>
          <w:lang w:val="en-MY"/>
        </w:rPr>
        <w:t xml:space="preserve">, E. Hirsch, F.E. Jansen, L. </w:t>
      </w:r>
      <w:proofErr w:type="spellStart"/>
      <w:r w:rsidRPr="00985FBC">
        <w:rPr>
          <w:rFonts w:ascii="Times New Roman" w:hAnsi="Times New Roman"/>
          <w:sz w:val="20"/>
          <w:lang w:val="en-MY"/>
        </w:rPr>
        <w:t>Lagae</w:t>
      </w:r>
      <w:proofErr w:type="spellEnd"/>
      <w:r w:rsidRPr="00985FBC">
        <w:rPr>
          <w:rFonts w:ascii="Times New Roman" w:hAnsi="Times New Roman"/>
          <w:sz w:val="20"/>
          <w:lang w:val="en-MY"/>
        </w:rPr>
        <w:t xml:space="preserve">, S.L. </w:t>
      </w:r>
      <w:proofErr w:type="spellStart"/>
      <w:r w:rsidRPr="00985FBC">
        <w:rPr>
          <w:rFonts w:ascii="Times New Roman" w:hAnsi="Times New Roman"/>
          <w:sz w:val="20"/>
          <w:lang w:val="en-MY"/>
        </w:rPr>
        <w:t>Moshé</w:t>
      </w:r>
      <w:proofErr w:type="spellEnd"/>
      <w:r w:rsidRPr="00985FBC">
        <w:rPr>
          <w:rFonts w:ascii="Times New Roman" w:hAnsi="Times New Roman"/>
          <w:sz w:val="20"/>
          <w:lang w:val="en-MY"/>
        </w:rPr>
        <w:t xml:space="preserve">, J. Peltola, E.R. Perez, I.E. Scheffer, and S.M. Zuberi, “Operational classification of seizure types by the International League Against Epilepsy: Position Paper of the ILAE Commission for Classification and Terminology,” </w:t>
      </w:r>
      <w:r w:rsidRPr="00985FBC">
        <w:rPr>
          <w:rFonts w:ascii="Times New Roman" w:hAnsi="Times New Roman"/>
          <w:i/>
          <w:iCs/>
          <w:sz w:val="20"/>
          <w:lang w:val="en-MY"/>
        </w:rPr>
        <w:t>Journal of the Japanese Epilepsy Society</w:t>
      </w:r>
      <w:r w:rsidRPr="00985FBC">
        <w:rPr>
          <w:rFonts w:ascii="Times New Roman" w:hAnsi="Times New Roman"/>
          <w:sz w:val="20"/>
          <w:lang w:val="en-MY"/>
        </w:rPr>
        <w:t xml:space="preserve"> </w:t>
      </w:r>
      <w:r w:rsidRPr="00985FBC">
        <w:rPr>
          <w:rFonts w:ascii="Times New Roman" w:hAnsi="Times New Roman"/>
          <w:b/>
          <w:bCs/>
          <w:sz w:val="20"/>
          <w:lang w:val="en-MY"/>
        </w:rPr>
        <w:t>37</w:t>
      </w:r>
      <w:r w:rsidRPr="00985FBC">
        <w:rPr>
          <w:rFonts w:ascii="Times New Roman" w:hAnsi="Times New Roman"/>
          <w:sz w:val="20"/>
          <w:lang w:val="en-MY"/>
        </w:rPr>
        <w:t>(1), 15–23 (2019).</w:t>
      </w:r>
    </w:p>
    <w:p w14:paraId="1B3079E2" w14:textId="77777777" w:rsidR="00985FBC" w:rsidRPr="00985FBC" w:rsidRDefault="00985FBC" w:rsidP="00985FBC">
      <w:pPr>
        <w:pStyle w:val="MDPI71References"/>
        <w:numPr>
          <w:ilvl w:val="0"/>
          <w:numId w:val="47"/>
        </w:numPr>
        <w:ind w:left="425" w:hanging="425"/>
        <w:rPr>
          <w:rFonts w:ascii="Times New Roman" w:hAnsi="Times New Roman"/>
          <w:sz w:val="20"/>
          <w:lang w:val="en-MY"/>
        </w:rPr>
      </w:pPr>
      <w:r w:rsidRPr="00985FBC">
        <w:rPr>
          <w:rFonts w:ascii="Times New Roman" w:hAnsi="Times New Roman"/>
          <w:sz w:val="20"/>
          <w:lang w:val="en-MY"/>
        </w:rPr>
        <w:t xml:space="preserve">World Health Organization, “Epilepsy.” Available online: </w:t>
      </w:r>
      <w:hyperlink r:id="rId14" w:tgtFrame="_new" w:history="1">
        <w:r w:rsidRPr="00985FBC">
          <w:rPr>
            <w:rStyle w:val="Hyperlink"/>
            <w:rFonts w:ascii="Times New Roman" w:hAnsi="Times New Roman"/>
            <w:sz w:val="20"/>
            <w:lang w:val="en-MY"/>
          </w:rPr>
          <w:t>https://www.who.int/news-room/fact-sheets/detail/epilepsy</w:t>
        </w:r>
      </w:hyperlink>
      <w:r w:rsidRPr="00985FBC">
        <w:rPr>
          <w:rFonts w:ascii="Times New Roman" w:hAnsi="Times New Roman"/>
          <w:sz w:val="20"/>
          <w:lang w:val="en-MY"/>
        </w:rPr>
        <w:t xml:space="preserve"> (accessed on 11 May 2025).</w:t>
      </w:r>
    </w:p>
    <w:p w14:paraId="2DC0817C" w14:textId="77777777" w:rsidR="00985FBC" w:rsidRPr="00985FBC" w:rsidRDefault="00985FBC" w:rsidP="00985FBC">
      <w:pPr>
        <w:pStyle w:val="MDPI71References"/>
        <w:numPr>
          <w:ilvl w:val="0"/>
          <w:numId w:val="47"/>
        </w:numPr>
        <w:ind w:left="425" w:hanging="425"/>
        <w:rPr>
          <w:rFonts w:ascii="Times New Roman" w:hAnsi="Times New Roman"/>
          <w:sz w:val="20"/>
          <w:lang w:val="en-MY"/>
        </w:rPr>
      </w:pPr>
      <w:r w:rsidRPr="00985FBC">
        <w:rPr>
          <w:rFonts w:ascii="Times New Roman" w:hAnsi="Times New Roman"/>
          <w:sz w:val="20"/>
          <w:lang w:val="en-MY"/>
        </w:rPr>
        <w:t xml:space="preserve">“Health Expenditure and Reimbursement in the Affordable Care Act: Relevant to the Shortage of Neurologists,” </w:t>
      </w:r>
      <w:r w:rsidRPr="00985FBC">
        <w:rPr>
          <w:rFonts w:ascii="Times New Roman" w:hAnsi="Times New Roman"/>
          <w:i/>
          <w:iCs/>
          <w:sz w:val="20"/>
          <w:lang w:val="en-MY"/>
        </w:rPr>
        <w:t>Journal of Neurology and Experimental Neuroscience</w:t>
      </w:r>
      <w:r w:rsidRPr="00985FBC">
        <w:rPr>
          <w:rFonts w:ascii="Times New Roman" w:hAnsi="Times New Roman"/>
          <w:sz w:val="20"/>
          <w:lang w:val="en-MY"/>
        </w:rPr>
        <w:t xml:space="preserve"> </w:t>
      </w:r>
      <w:r w:rsidRPr="00985FBC">
        <w:rPr>
          <w:rFonts w:ascii="Times New Roman" w:hAnsi="Times New Roman"/>
          <w:b/>
          <w:bCs/>
          <w:sz w:val="20"/>
          <w:lang w:val="en-MY"/>
        </w:rPr>
        <w:t>9</w:t>
      </w:r>
      <w:r w:rsidRPr="00985FBC">
        <w:rPr>
          <w:rFonts w:ascii="Times New Roman" w:hAnsi="Times New Roman"/>
          <w:sz w:val="20"/>
          <w:lang w:val="en-MY"/>
        </w:rPr>
        <w:t>(2), (2023).</w:t>
      </w:r>
    </w:p>
    <w:p w14:paraId="4D34363B" w14:textId="77777777" w:rsidR="00985FBC" w:rsidRPr="00985FBC" w:rsidRDefault="00985FBC" w:rsidP="00985FBC">
      <w:pPr>
        <w:pStyle w:val="MDPI71References"/>
        <w:numPr>
          <w:ilvl w:val="0"/>
          <w:numId w:val="47"/>
        </w:numPr>
        <w:ind w:left="425" w:hanging="425"/>
        <w:rPr>
          <w:rFonts w:ascii="Times New Roman" w:hAnsi="Times New Roman"/>
          <w:sz w:val="20"/>
          <w:lang w:val="en-MY"/>
        </w:rPr>
      </w:pPr>
      <w:r w:rsidRPr="00985FBC">
        <w:rPr>
          <w:rFonts w:ascii="Times New Roman" w:hAnsi="Times New Roman"/>
          <w:sz w:val="20"/>
          <w:lang w:val="en-MY"/>
        </w:rPr>
        <w:t xml:space="preserve">W.-L. Mao, H.I.K. Fathurrahman, Y. Lee, and T.W. Chang, “EEG dataset classification using CNN method,” </w:t>
      </w:r>
      <w:r w:rsidRPr="00985FBC">
        <w:rPr>
          <w:rFonts w:ascii="Times New Roman" w:hAnsi="Times New Roman"/>
          <w:i/>
          <w:iCs/>
          <w:sz w:val="20"/>
          <w:lang w:val="en-MY"/>
        </w:rPr>
        <w:t>Journal of Physics: Conference Series</w:t>
      </w:r>
      <w:r w:rsidRPr="00985FBC">
        <w:rPr>
          <w:rFonts w:ascii="Times New Roman" w:hAnsi="Times New Roman"/>
          <w:sz w:val="20"/>
          <w:lang w:val="en-MY"/>
        </w:rPr>
        <w:t xml:space="preserve"> </w:t>
      </w:r>
      <w:r w:rsidRPr="00985FBC">
        <w:rPr>
          <w:rFonts w:ascii="Times New Roman" w:hAnsi="Times New Roman"/>
          <w:b/>
          <w:bCs/>
          <w:sz w:val="20"/>
          <w:lang w:val="en-MY"/>
        </w:rPr>
        <w:t>1456</w:t>
      </w:r>
      <w:r w:rsidRPr="00985FBC">
        <w:rPr>
          <w:rFonts w:ascii="Times New Roman" w:hAnsi="Times New Roman"/>
          <w:sz w:val="20"/>
          <w:lang w:val="en-MY"/>
        </w:rPr>
        <w:t>(1), 012017 (2020).</w:t>
      </w:r>
    </w:p>
    <w:p w14:paraId="67115A83" w14:textId="77777777" w:rsidR="00985FBC" w:rsidRPr="00985FBC" w:rsidRDefault="00985FBC" w:rsidP="00985FBC">
      <w:pPr>
        <w:pStyle w:val="MDPI71References"/>
        <w:numPr>
          <w:ilvl w:val="0"/>
          <w:numId w:val="47"/>
        </w:numPr>
        <w:ind w:left="425" w:hanging="425"/>
        <w:rPr>
          <w:rFonts w:ascii="Times New Roman" w:hAnsi="Times New Roman"/>
          <w:sz w:val="20"/>
          <w:lang w:val="en-MY"/>
        </w:rPr>
      </w:pPr>
      <w:r w:rsidRPr="00985FBC">
        <w:rPr>
          <w:rFonts w:ascii="Times New Roman" w:hAnsi="Times New Roman"/>
          <w:sz w:val="20"/>
          <w:lang w:val="en-MY"/>
        </w:rPr>
        <w:t xml:space="preserve">N. </w:t>
      </w:r>
      <w:proofErr w:type="spellStart"/>
      <w:r w:rsidRPr="00985FBC">
        <w:rPr>
          <w:rFonts w:ascii="Times New Roman" w:hAnsi="Times New Roman"/>
          <w:sz w:val="20"/>
          <w:lang w:val="en-MY"/>
        </w:rPr>
        <w:t>Ilakiyaselvan</w:t>
      </w:r>
      <w:proofErr w:type="spellEnd"/>
      <w:r w:rsidRPr="00985FBC">
        <w:rPr>
          <w:rFonts w:ascii="Times New Roman" w:hAnsi="Times New Roman"/>
          <w:sz w:val="20"/>
          <w:lang w:val="en-MY"/>
        </w:rPr>
        <w:t xml:space="preserve">, K.A. </w:t>
      </w:r>
      <w:proofErr w:type="spellStart"/>
      <w:r w:rsidRPr="00985FBC">
        <w:rPr>
          <w:rFonts w:ascii="Times New Roman" w:hAnsi="Times New Roman"/>
          <w:sz w:val="20"/>
          <w:lang w:val="en-MY"/>
        </w:rPr>
        <w:t>Nayeemulla</w:t>
      </w:r>
      <w:proofErr w:type="spellEnd"/>
      <w:r w:rsidRPr="00985FBC">
        <w:rPr>
          <w:rFonts w:ascii="Times New Roman" w:hAnsi="Times New Roman"/>
          <w:sz w:val="20"/>
          <w:lang w:val="en-MY"/>
        </w:rPr>
        <w:t xml:space="preserve">, and A. Shahina, “Deep learning approach to detect seizure using reconstructed phase space images,” </w:t>
      </w:r>
      <w:r w:rsidRPr="00985FBC">
        <w:rPr>
          <w:rFonts w:ascii="Times New Roman" w:hAnsi="Times New Roman"/>
          <w:i/>
          <w:iCs/>
          <w:sz w:val="20"/>
          <w:lang w:val="en-MY"/>
        </w:rPr>
        <w:t>The Journal of Biomedical Research</w:t>
      </w:r>
      <w:r w:rsidRPr="00985FBC">
        <w:rPr>
          <w:rFonts w:ascii="Times New Roman" w:hAnsi="Times New Roman"/>
          <w:sz w:val="20"/>
          <w:lang w:val="en-MY"/>
        </w:rPr>
        <w:t xml:space="preserve"> </w:t>
      </w:r>
      <w:r w:rsidRPr="00985FBC">
        <w:rPr>
          <w:rFonts w:ascii="Times New Roman" w:hAnsi="Times New Roman"/>
          <w:b/>
          <w:bCs/>
          <w:sz w:val="20"/>
          <w:lang w:val="en-MY"/>
        </w:rPr>
        <w:t>34</w:t>
      </w:r>
      <w:r w:rsidRPr="00985FBC">
        <w:rPr>
          <w:rFonts w:ascii="Times New Roman" w:hAnsi="Times New Roman"/>
          <w:sz w:val="20"/>
          <w:lang w:val="en-MY"/>
        </w:rPr>
        <w:t>(3), 240–250 (2020).</w:t>
      </w:r>
    </w:p>
    <w:p w14:paraId="1FCA2EB4" w14:textId="77777777" w:rsidR="00985FBC" w:rsidRPr="00985FBC" w:rsidRDefault="00985FBC" w:rsidP="00985FBC">
      <w:pPr>
        <w:pStyle w:val="MDPI71References"/>
        <w:numPr>
          <w:ilvl w:val="0"/>
          <w:numId w:val="47"/>
        </w:numPr>
        <w:ind w:left="425" w:hanging="425"/>
        <w:rPr>
          <w:rFonts w:ascii="Times New Roman" w:hAnsi="Times New Roman"/>
          <w:sz w:val="20"/>
          <w:lang w:val="en-MY"/>
        </w:rPr>
      </w:pPr>
      <w:r w:rsidRPr="00985FBC">
        <w:rPr>
          <w:rFonts w:ascii="Times New Roman" w:hAnsi="Times New Roman"/>
          <w:sz w:val="20"/>
          <w:lang w:val="en-MY"/>
        </w:rPr>
        <w:t xml:space="preserve">Y.P. Singh and D.K. </w:t>
      </w:r>
      <w:proofErr w:type="spellStart"/>
      <w:r w:rsidRPr="00985FBC">
        <w:rPr>
          <w:rFonts w:ascii="Times New Roman" w:hAnsi="Times New Roman"/>
          <w:sz w:val="20"/>
          <w:lang w:val="en-MY"/>
        </w:rPr>
        <w:t>Lobiyal</w:t>
      </w:r>
      <w:proofErr w:type="spellEnd"/>
      <w:r w:rsidRPr="00985FBC">
        <w:rPr>
          <w:rFonts w:ascii="Times New Roman" w:hAnsi="Times New Roman"/>
          <w:sz w:val="20"/>
          <w:lang w:val="en-MY"/>
        </w:rPr>
        <w:t xml:space="preserve">, “A Comparative Study of Deep Learning Algorithms for Epileptic Seizure Classification,” in </w:t>
      </w:r>
      <w:r w:rsidRPr="00985FBC">
        <w:rPr>
          <w:rFonts w:ascii="Times New Roman" w:hAnsi="Times New Roman"/>
          <w:i/>
          <w:iCs/>
          <w:sz w:val="20"/>
          <w:lang w:val="en-MY"/>
        </w:rPr>
        <w:t>2022 International Conference on Computing, Communication, Security and Intelligent Systems (IC3SIS)</w:t>
      </w:r>
      <w:r w:rsidRPr="00985FBC">
        <w:rPr>
          <w:rFonts w:ascii="Times New Roman" w:hAnsi="Times New Roman"/>
          <w:sz w:val="20"/>
          <w:lang w:val="en-MY"/>
        </w:rPr>
        <w:t xml:space="preserve"> (IEEE, Kochi, India, 2022), pp. 1–6.</w:t>
      </w:r>
    </w:p>
    <w:p w14:paraId="2A6E8470" w14:textId="77777777" w:rsidR="00985FBC" w:rsidRPr="00985FBC" w:rsidRDefault="00985FBC" w:rsidP="00985FBC">
      <w:pPr>
        <w:pStyle w:val="MDPI71References"/>
        <w:numPr>
          <w:ilvl w:val="0"/>
          <w:numId w:val="47"/>
        </w:numPr>
        <w:ind w:left="425" w:hanging="425"/>
        <w:rPr>
          <w:rFonts w:ascii="Times New Roman" w:hAnsi="Times New Roman"/>
          <w:sz w:val="20"/>
          <w:lang w:val="en-MY"/>
        </w:rPr>
      </w:pPr>
      <w:r w:rsidRPr="00985FBC">
        <w:rPr>
          <w:rFonts w:ascii="Times New Roman" w:hAnsi="Times New Roman"/>
          <w:sz w:val="20"/>
          <w:lang w:val="en-MY"/>
        </w:rPr>
        <w:t xml:space="preserve">G.C. Jana, R. Sharma, and A. Agrawal, “A 1D-CNN-Spectrogram Based Approach for Seizure Detection from EEG Signal,” </w:t>
      </w:r>
      <w:r w:rsidRPr="00985FBC">
        <w:rPr>
          <w:rFonts w:ascii="Times New Roman" w:hAnsi="Times New Roman"/>
          <w:i/>
          <w:iCs/>
          <w:sz w:val="20"/>
          <w:lang w:val="en-MY"/>
        </w:rPr>
        <w:t>Procedia Computer Science</w:t>
      </w:r>
      <w:r w:rsidRPr="00985FBC">
        <w:rPr>
          <w:rFonts w:ascii="Times New Roman" w:hAnsi="Times New Roman"/>
          <w:sz w:val="20"/>
          <w:lang w:val="en-MY"/>
        </w:rPr>
        <w:t xml:space="preserve"> </w:t>
      </w:r>
      <w:r w:rsidRPr="00985FBC">
        <w:rPr>
          <w:rFonts w:ascii="Times New Roman" w:hAnsi="Times New Roman"/>
          <w:b/>
          <w:bCs/>
          <w:sz w:val="20"/>
          <w:lang w:val="en-MY"/>
        </w:rPr>
        <w:t>167</w:t>
      </w:r>
      <w:r w:rsidRPr="00985FBC">
        <w:rPr>
          <w:rFonts w:ascii="Times New Roman" w:hAnsi="Times New Roman"/>
          <w:sz w:val="20"/>
          <w:lang w:val="en-MY"/>
        </w:rPr>
        <w:t>, 403–412 (2020).</w:t>
      </w:r>
    </w:p>
    <w:p w14:paraId="6CDB7661" w14:textId="77777777" w:rsidR="00985FBC" w:rsidRPr="00985FBC" w:rsidRDefault="00985FBC" w:rsidP="00985FBC">
      <w:pPr>
        <w:pStyle w:val="MDPI71References"/>
        <w:numPr>
          <w:ilvl w:val="0"/>
          <w:numId w:val="47"/>
        </w:numPr>
        <w:ind w:left="425" w:hanging="425"/>
        <w:rPr>
          <w:rFonts w:ascii="Times New Roman" w:hAnsi="Times New Roman"/>
          <w:sz w:val="20"/>
          <w:lang w:val="en-MY"/>
        </w:rPr>
      </w:pPr>
      <w:r w:rsidRPr="00985FBC">
        <w:rPr>
          <w:rFonts w:ascii="Times New Roman" w:hAnsi="Times New Roman"/>
          <w:sz w:val="20"/>
          <w:lang w:val="en-MY"/>
        </w:rPr>
        <w:t>C. Huang, W. Chen, and G. Cao, “Automatic Epileptic Seizure Detection via Attention-Based CNN-</w:t>
      </w:r>
      <w:proofErr w:type="spellStart"/>
      <w:r w:rsidRPr="00985FBC">
        <w:rPr>
          <w:rFonts w:ascii="Times New Roman" w:hAnsi="Times New Roman"/>
          <w:sz w:val="20"/>
          <w:lang w:val="en-MY"/>
        </w:rPr>
        <w:t>BiRNN</w:t>
      </w:r>
      <w:proofErr w:type="spellEnd"/>
      <w:r w:rsidRPr="00985FBC">
        <w:rPr>
          <w:rFonts w:ascii="Times New Roman" w:hAnsi="Times New Roman"/>
          <w:sz w:val="20"/>
          <w:lang w:val="en-MY"/>
        </w:rPr>
        <w:t xml:space="preserve">,” in </w:t>
      </w:r>
      <w:r w:rsidRPr="00985FBC">
        <w:rPr>
          <w:rFonts w:ascii="Times New Roman" w:hAnsi="Times New Roman"/>
          <w:i/>
          <w:iCs/>
          <w:sz w:val="20"/>
          <w:lang w:val="en-MY"/>
        </w:rPr>
        <w:t>2019 IEEE International Conference on Bioinformatics and Biomedicine (BIBM)</w:t>
      </w:r>
      <w:r w:rsidRPr="00985FBC">
        <w:rPr>
          <w:rFonts w:ascii="Times New Roman" w:hAnsi="Times New Roman"/>
          <w:sz w:val="20"/>
          <w:lang w:val="en-MY"/>
        </w:rPr>
        <w:t xml:space="preserve"> (IEEE, San Diego, CA, USA, 2019), pp. 660–663.</w:t>
      </w:r>
    </w:p>
    <w:p w14:paraId="3A596232" w14:textId="77777777" w:rsidR="00985FBC" w:rsidRPr="00985FBC" w:rsidRDefault="00985FBC" w:rsidP="00985FBC">
      <w:pPr>
        <w:pStyle w:val="MDPI71References"/>
        <w:numPr>
          <w:ilvl w:val="0"/>
          <w:numId w:val="47"/>
        </w:numPr>
        <w:ind w:left="425" w:hanging="425"/>
        <w:rPr>
          <w:rFonts w:ascii="Times New Roman" w:hAnsi="Times New Roman"/>
          <w:sz w:val="20"/>
          <w:lang w:val="en-MY"/>
        </w:rPr>
      </w:pPr>
      <w:r w:rsidRPr="00985FBC">
        <w:rPr>
          <w:rFonts w:ascii="Times New Roman" w:hAnsi="Times New Roman"/>
          <w:sz w:val="20"/>
          <w:lang w:val="en-MY"/>
        </w:rPr>
        <w:t xml:space="preserve">M. Zhou, C. Tian, R. Cao, B. Wang, Y. Niu, T. Hu, H. Guo, and J. Xiang, “Epileptic Seizure Detection Based on EEG Signals and CNN,” </w:t>
      </w:r>
      <w:r w:rsidRPr="00985FBC">
        <w:rPr>
          <w:rFonts w:ascii="Times New Roman" w:hAnsi="Times New Roman"/>
          <w:i/>
          <w:iCs/>
          <w:sz w:val="20"/>
          <w:lang w:val="en-MY"/>
        </w:rPr>
        <w:t>Frontiers in Neuroinformatics</w:t>
      </w:r>
      <w:r w:rsidRPr="00985FBC">
        <w:rPr>
          <w:rFonts w:ascii="Times New Roman" w:hAnsi="Times New Roman"/>
          <w:sz w:val="20"/>
          <w:lang w:val="en-MY"/>
        </w:rPr>
        <w:t xml:space="preserve"> </w:t>
      </w:r>
      <w:r w:rsidRPr="00985FBC">
        <w:rPr>
          <w:rFonts w:ascii="Times New Roman" w:hAnsi="Times New Roman"/>
          <w:b/>
          <w:bCs/>
          <w:sz w:val="20"/>
          <w:lang w:val="en-MY"/>
        </w:rPr>
        <w:t>12</w:t>
      </w:r>
      <w:r w:rsidRPr="00985FBC">
        <w:rPr>
          <w:rFonts w:ascii="Times New Roman" w:hAnsi="Times New Roman"/>
          <w:sz w:val="20"/>
          <w:lang w:val="en-MY"/>
        </w:rPr>
        <w:t>, 95 (2018).</w:t>
      </w:r>
    </w:p>
    <w:p w14:paraId="1218F4DA" w14:textId="77777777" w:rsidR="00985FBC" w:rsidRPr="00985FBC" w:rsidRDefault="00985FBC" w:rsidP="00985FBC">
      <w:pPr>
        <w:pStyle w:val="MDPI71References"/>
        <w:numPr>
          <w:ilvl w:val="0"/>
          <w:numId w:val="47"/>
        </w:numPr>
        <w:ind w:left="425" w:hanging="425"/>
        <w:rPr>
          <w:rFonts w:ascii="Times New Roman" w:hAnsi="Times New Roman"/>
          <w:sz w:val="20"/>
          <w:lang w:val="en-MY"/>
        </w:rPr>
      </w:pPr>
      <w:r w:rsidRPr="00985FBC">
        <w:rPr>
          <w:rFonts w:ascii="Times New Roman" w:hAnsi="Times New Roman"/>
          <w:sz w:val="20"/>
          <w:lang w:val="en-MY"/>
        </w:rPr>
        <w:t xml:space="preserve">Z.Y. Lim and Y.L. Neo, “Epileptic Seizure Electroencephalography Signal Classification Using Machine Learning Algorithm,” in </w:t>
      </w:r>
      <w:r w:rsidRPr="00985FBC">
        <w:rPr>
          <w:rFonts w:ascii="Times New Roman" w:hAnsi="Times New Roman"/>
          <w:i/>
          <w:iCs/>
          <w:sz w:val="20"/>
          <w:lang w:val="en-MY"/>
        </w:rPr>
        <w:t>2022 International Conference on Computational Science and Computational Intelligence (CSCI)</w:t>
      </w:r>
      <w:r w:rsidRPr="00985FBC">
        <w:rPr>
          <w:rFonts w:ascii="Times New Roman" w:hAnsi="Times New Roman"/>
          <w:sz w:val="20"/>
          <w:lang w:val="en-MY"/>
        </w:rPr>
        <w:t xml:space="preserve"> (IEEE, Las Vegas, NV, USA, 2022), pp. 213–218.</w:t>
      </w:r>
    </w:p>
    <w:p w14:paraId="62761D1E" w14:textId="77777777" w:rsidR="00985FBC" w:rsidRDefault="00985FBC" w:rsidP="00985FBC">
      <w:pPr>
        <w:pStyle w:val="MDPI71References"/>
        <w:numPr>
          <w:ilvl w:val="0"/>
          <w:numId w:val="47"/>
        </w:numPr>
        <w:ind w:left="425" w:hanging="425"/>
        <w:rPr>
          <w:rFonts w:ascii="Times New Roman" w:hAnsi="Times New Roman"/>
          <w:sz w:val="20"/>
          <w:lang w:val="en-MY"/>
        </w:rPr>
      </w:pPr>
      <w:r w:rsidRPr="00985FBC">
        <w:rPr>
          <w:rFonts w:ascii="Times New Roman" w:hAnsi="Times New Roman"/>
          <w:sz w:val="20"/>
          <w:lang w:val="en-MY"/>
        </w:rPr>
        <w:t xml:space="preserve">Q. Wu and E. Fokoue, “Epileptic Seizure Recognition Data Set,” UCI Machine Learning Repository. Available online: </w:t>
      </w:r>
      <w:hyperlink r:id="rId15" w:tgtFrame="_new" w:history="1">
        <w:r w:rsidRPr="00985FBC">
          <w:rPr>
            <w:rStyle w:val="Hyperlink"/>
            <w:rFonts w:ascii="Times New Roman" w:hAnsi="Times New Roman"/>
            <w:sz w:val="20"/>
            <w:lang w:val="en-MY"/>
          </w:rPr>
          <w:t>https://www.kaggle.com/datasets/harunshimanto/epileptic-seizure-recognition</w:t>
        </w:r>
      </w:hyperlink>
      <w:r w:rsidRPr="00985FBC">
        <w:rPr>
          <w:rFonts w:ascii="Times New Roman" w:hAnsi="Times New Roman"/>
          <w:sz w:val="20"/>
          <w:lang w:val="en-MY"/>
        </w:rPr>
        <w:t xml:space="preserve"> (accessed on 11 May 2025).</w:t>
      </w:r>
    </w:p>
    <w:p w14:paraId="2915BB9E" w14:textId="74F9DDAB" w:rsidR="009826C7" w:rsidRPr="00985FBC" w:rsidRDefault="009826C7" w:rsidP="00985FBC">
      <w:pPr>
        <w:pStyle w:val="MDPI71References"/>
        <w:numPr>
          <w:ilvl w:val="0"/>
          <w:numId w:val="47"/>
        </w:numPr>
        <w:ind w:left="425" w:hanging="425"/>
        <w:rPr>
          <w:rFonts w:ascii="Times New Roman" w:hAnsi="Times New Roman"/>
          <w:sz w:val="20"/>
          <w:lang w:val="en-MY"/>
        </w:rPr>
      </w:pPr>
      <w:r w:rsidRPr="009826C7">
        <w:rPr>
          <w:rFonts w:ascii="Times New Roman" w:hAnsi="Times New Roman"/>
          <w:sz w:val="20"/>
        </w:rPr>
        <w:t xml:space="preserve">S. Palaniappan, R. Logeswaran, and Y.L. Yong, “Machine Learning Model for Assessing Human Well-being Using Brain Wave Activities,” </w:t>
      </w:r>
      <w:r>
        <w:rPr>
          <w:rFonts w:ascii="Times New Roman" w:hAnsi="Times New Roman"/>
          <w:sz w:val="20"/>
        </w:rPr>
        <w:t>Journal of Informatics and Web Engineering</w:t>
      </w:r>
      <w:r w:rsidRPr="009826C7">
        <w:rPr>
          <w:rFonts w:ascii="Times New Roman" w:hAnsi="Times New Roman"/>
          <w:sz w:val="20"/>
        </w:rPr>
        <w:t> </w:t>
      </w:r>
      <w:r w:rsidRPr="009826C7">
        <w:rPr>
          <w:rFonts w:ascii="Times New Roman" w:hAnsi="Times New Roman"/>
          <w:b/>
          <w:bCs/>
          <w:sz w:val="20"/>
        </w:rPr>
        <w:t>4</w:t>
      </w:r>
      <w:r w:rsidRPr="009826C7">
        <w:rPr>
          <w:rFonts w:ascii="Times New Roman" w:hAnsi="Times New Roman"/>
          <w:sz w:val="20"/>
        </w:rPr>
        <w:t>(2), 93–113 (2025).</w:t>
      </w:r>
    </w:p>
    <w:p w14:paraId="4DE91CCB" w14:textId="29DF04A8" w:rsidR="00326AE0" w:rsidRPr="0057213E" w:rsidRDefault="00326AE0" w:rsidP="00985FBC">
      <w:pPr>
        <w:pStyle w:val="MDPI71References"/>
        <w:numPr>
          <w:ilvl w:val="0"/>
          <w:numId w:val="0"/>
        </w:numPr>
        <w:ind w:left="425"/>
        <w:rPr>
          <w:rFonts w:ascii="Times New Roman" w:hAnsi="Times New Roman"/>
          <w:sz w:val="20"/>
        </w:rPr>
      </w:pPr>
    </w:p>
    <w:sectPr w:rsidR="00326AE0" w:rsidRPr="0057213E"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50A245F"/>
    <w:multiLevelType w:val="hybridMultilevel"/>
    <w:tmpl w:val="29E20A30"/>
    <w:lvl w:ilvl="0" w:tplc="1AF444CE">
      <w:start w:val="1"/>
      <w:numFmt w:val="decimal"/>
      <w:lvlText w:val="%1."/>
      <w:lvlJc w:val="left"/>
      <w:pPr>
        <w:ind w:left="1205" w:hanging="420"/>
      </w:pPr>
      <w:rPr>
        <w:rFonts w:hint="default"/>
      </w:rPr>
    </w:lvl>
    <w:lvl w:ilvl="1" w:tplc="08090019" w:tentative="1">
      <w:start w:val="1"/>
      <w:numFmt w:val="lowerLetter"/>
      <w:lvlText w:val="%2."/>
      <w:lvlJc w:val="left"/>
      <w:pPr>
        <w:ind w:left="1865" w:hanging="360"/>
      </w:pPr>
    </w:lvl>
    <w:lvl w:ilvl="2" w:tplc="0809001B" w:tentative="1">
      <w:start w:val="1"/>
      <w:numFmt w:val="lowerRoman"/>
      <w:lvlText w:val="%3."/>
      <w:lvlJc w:val="right"/>
      <w:pPr>
        <w:ind w:left="2585" w:hanging="180"/>
      </w:pPr>
    </w:lvl>
    <w:lvl w:ilvl="3" w:tplc="0809000F" w:tentative="1">
      <w:start w:val="1"/>
      <w:numFmt w:val="decimal"/>
      <w:lvlText w:val="%4."/>
      <w:lvlJc w:val="left"/>
      <w:pPr>
        <w:ind w:left="3305" w:hanging="360"/>
      </w:pPr>
    </w:lvl>
    <w:lvl w:ilvl="4" w:tplc="08090019" w:tentative="1">
      <w:start w:val="1"/>
      <w:numFmt w:val="lowerLetter"/>
      <w:lvlText w:val="%5."/>
      <w:lvlJc w:val="left"/>
      <w:pPr>
        <w:ind w:left="4025" w:hanging="360"/>
      </w:pPr>
    </w:lvl>
    <w:lvl w:ilvl="5" w:tplc="0809001B" w:tentative="1">
      <w:start w:val="1"/>
      <w:numFmt w:val="lowerRoman"/>
      <w:lvlText w:val="%6."/>
      <w:lvlJc w:val="right"/>
      <w:pPr>
        <w:ind w:left="4745" w:hanging="180"/>
      </w:pPr>
    </w:lvl>
    <w:lvl w:ilvl="6" w:tplc="0809000F" w:tentative="1">
      <w:start w:val="1"/>
      <w:numFmt w:val="decimal"/>
      <w:lvlText w:val="%7."/>
      <w:lvlJc w:val="left"/>
      <w:pPr>
        <w:ind w:left="5465" w:hanging="360"/>
      </w:pPr>
    </w:lvl>
    <w:lvl w:ilvl="7" w:tplc="08090019" w:tentative="1">
      <w:start w:val="1"/>
      <w:numFmt w:val="lowerLetter"/>
      <w:lvlText w:val="%8."/>
      <w:lvlJc w:val="left"/>
      <w:pPr>
        <w:ind w:left="6185" w:hanging="360"/>
      </w:pPr>
    </w:lvl>
    <w:lvl w:ilvl="8" w:tplc="0809001B" w:tentative="1">
      <w:start w:val="1"/>
      <w:numFmt w:val="lowerRoman"/>
      <w:lvlText w:val="%9."/>
      <w:lvlJc w:val="right"/>
      <w:pPr>
        <w:ind w:left="6905" w:hanging="18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4157101"/>
    <w:multiLevelType w:val="hybridMultilevel"/>
    <w:tmpl w:val="865CFE22"/>
    <w:lvl w:ilvl="0" w:tplc="C142ACE0">
      <w:start w:val="1"/>
      <w:numFmt w:val="decimal"/>
      <w:lvlRestart w:val="0"/>
      <w:pStyle w:val="MDPI71References"/>
      <w:lvlText w:val="%1."/>
      <w:lvlJc w:val="left"/>
      <w:pPr>
        <w:ind w:left="425"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5"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7"/>
  </w:num>
  <w:num w:numId="2" w16cid:durableId="1623537524">
    <w:abstractNumId w:val="3"/>
  </w:num>
  <w:num w:numId="3" w16cid:durableId="333149680">
    <w:abstractNumId w:val="14"/>
  </w:num>
  <w:num w:numId="4" w16cid:durableId="1958750756">
    <w:abstractNumId w:val="8"/>
  </w:num>
  <w:num w:numId="5" w16cid:durableId="1466237890">
    <w:abstractNumId w:val="13"/>
  </w:num>
  <w:num w:numId="6" w16cid:durableId="846751398">
    <w:abstractNumId w:val="5"/>
  </w:num>
  <w:num w:numId="7" w16cid:durableId="982584711">
    <w:abstractNumId w:val="7"/>
  </w:num>
  <w:num w:numId="8" w16cid:durableId="247734440">
    <w:abstractNumId w:val="1"/>
  </w:num>
  <w:num w:numId="9" w16cid:durableId="1514879319">
    <w:abstractNumId w:val="16"/>
  </w:num>
  <w:num w:numId="10" w16cid:durableId="1383210328">
    <w:abstractNumId w:val="10"/>
  </w:num>
  <w:num w:numId="11" w16cid:durableId="1513061117">
    <w:abstractNumId w:val="15"/>
  </w:num>
  <w:num w:numId="12" w16cid:durableId="958226418">
    <w:abstractNumId w:val="12"/>
  </w:num>
  <w:num w:numId="13" w16cid:durableId="771170886">
    <w:abstractNumId w:val="6"/>
  </w:num>
  <w:num w:numId="14" w16cid:durableId="1315187322">
    <w:abstractNumId w:val="16"/>
  </w:num>
  <w:num w:numId="15" w16cid:durableId="1726029251">
    <w:abstractNumId w:val="9"/>
  </w:num>
  <w:num w:numId="16" w16cid:durableId="1685588258">
    <w:abstractNumId w:val="6"/>
  </w:num>
  <w:num w:numId="17" w16cid:durableId="1886479068">
    <w:abstractNumId w:val="6"/>
  </w:num>
  <w:num w:numId="18" w16cid:durableId="122507144">
    <w:abstractNumId w:val="6"/>
  </w:num>
  <w:num w:numId="19" w16cid:durableId="377123869">
    <w:abstractNumId w:val="6"/>
  </w:num>
  <w:num w:numId="20" w16cid:durableId="497497882">
    <w:abstractNumId w:val="6"/>
  </w:num>
  <w:num w:numId="21" w16cid:durableId="1717657651">
    <w:abstractNumId w:val="6"/>
  </w:num>
  <w:num w:numId="22" w16cid:durableId="311255422">
    <w:abstractNumId w:val="6"/>
  </w:num>
  <w:num w:numId="23" w16cid:durableId="85927171">
    <w:abstractNumId w:val="6"/>
  </w:num>
  <w:num w:numId="24" w16cid:durableId="1880437806">
    <w:abstractNumId w:val="6"/>
  </w:num>
  <w:num w:numId="25" w16cid:durableId="392965441">
    <w:abstractNumId w:val="6"/>
  </w:num>
  <w:num w:numId="26" w16cid:durableId="1947694933">
    <w:abstractNumId w:val="6"/>
  </w:num>
  <w:num w:numId="27" w16cid:durableId="296030027">
    <w:abstractNumId w:val="6"/>
  </w:num>
  <w:num w:numId="28" w16cid:durableId="136382022">
    <w:abstractNumId w:val="6"/>
  </w:num>
  <w:num w:numId="29" w16cid:durableId="1747334233">
    <w:abstractNumId w:val="13"/>
  </w:num>
  <w:num w:numId="30" w16cid:durableId="1575971747">
    <w:abstractNumId w:val="13"/>
  </w:num>
  <w:num w:numId="31" w16cid:durableId="1939214429">
    <w:abstractNumId w:val="13"/>
    <w:lvlOverride w:ilvl="0">
      <w:startOverride w:val="1"/>
    </w:lvlOverride>
  </w:num>
  <w:num w:numId="32" w16cid:durableId="1782339355">
    <w:abstractNumId w:val="13"/>
  </w:num>
  <w:num w:numId="33" w16cid:durableId="957906086">
    <w:abstractNumId w:val="13"/>
    <w:lvlOverride w:ilvl="0">
      <w:startOverride w:val="1"/>
    </w:lvlOverride>
  </w:num>
  <w:num w:numId="34" w16cid:durableId="1087652185">
    <w:abstractNumId w:val="13"/>
    <w:lvlOverride w:ilvl="0">
      <w:startOverride w:val="1"/>
    </w:lvlOverride>
  </w:num>
  <w:num w:numId="35" w16cid:durableId="1054889863">
    <w:abstractNumId w:val="14"/>
    <w:lvlOverride w:ilvl="0">
      <w:startOverride w:val="1"/>
    </w:lvlOverride>
  </w:num>
  <w:num w:numId="36" w16cid:durableId="1812165908">
    <w:abstractNumId w:val="14"/>
  </w:num>
  <w:num w:numId="37" w16cid:durableId="1903178079">
    <w:abstractNumId w:val="14"/>
    <w:lvlOverride w:ilvl="0">
      <w:startOverride w:val="1"/>
    </w:lvlOverride>
  </w:num>
  <w:num w:numId="38" w16cid:durableId="1316564979">
    <w:abstractNumId w:val="14"/>
  </w:num>
  <w:num w:numId="39" w16cid:durableId="874267395">
    <w:abstractNumId w:val="14"/>
    <w:lvlOverride w:ilvl="0">
      <w:startOverride w:val="1"/>
    </w:lvlOverride>
  </w:num>
  <w:num w:numId="40" w16cid:durableId="1368025285">
    <w:abstractNumId w:val="14"/>
    <w:lvlOverride w:ilvl="0">
      <w:startOverride w:val="1"/>
    </w:lvlOverride>
  </w:num>
  <w:num w:numId="41" w16cid:durableId="944078796">
    <w:abstractNumId w:val="14"/>
    <w:lvlOverride w:ilvl="0">
      <w:startOverride w:val="1"/>
    </w:lvlOverride>
  </w:num>
  <w:num w:numId="42" w16cid:durableId="996031766">
    <w:abstractNumId w:val="14"/>
  </w:num>
  <w:num w:numId="43" w16cid:durableId="1289776494">
    <w:abstractNumId w:val="14"/>
  </w:num>
  <w:num w:numId="44" w16cid:durableId="1653829719">
    <w:abstractNumId w:val="2"/>
  </w:num>
  <w:num w:numId="45" w16cid:durableId="1775442011">
    <w:abstractNumId w:val="0"/>
  </w:num>
  <w:num w:numId="46" w16cid:durableId="1279680338">
    <w:abstractNumId w:val="4"/>
  </w:num>
  <w:num w:numId="47" w16cid:durableId="18594674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6045461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8"/>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UxN7ewMDA1MDM0NjJW0lEKTi0uzszPAykwrQUAFnrU4SwAAAA="/>
  </w:docVars>
  <w:rsids>
    <w:rsidRoot w:val="00C14B14"/>
    <w:rsid w:val="00003D7C"/>
    <w:rsid w:val="00014140"/>
    <w:rsid w:val="00016620"/>
    <w:rsid w:val="00027428"/>
    <w:rsid w:val="00031EC9"/>
    <w:rsid w:val="0005796A"/>
    <w:rsid w:val="00066FED"/>
    <w:rsid w:val="00075EA6"/>
    <w:rsid w:val="0007709F"/>
    <w:rsid w:val="00086F62"/>
    <w:rsid w:val="00090674"/>
    <w:rsid w:val="0009320B"/>
    <w:rsid w:val="00096AE0"/>
    <w:rsid w:val="000B1B74"/>
    <w:rsid w:val="000B3A2D"/>
    <w:rsid w:val="000B49C0"/>
    <w:rsid w:val="000E382F"/>
    <w:rsid w:val="000E75CD"/>
    <w:rsid w:val="001036BA"/>
    <w:rsid w:val="001146DC"/>
    <w:rsid w:val="00114AB1"/>
    <w:rsid w:val="001230FF"/>
    <w:rsid w:val="00130BD7"/>
    <w:rsid w:val="00155B67"/>
    <w:rsid w:val="001562AF"/>
    <w:rsid w:val="00161A5B"/>
    <w:rsid w:val="0016385D"/>
    <w:rsid w:val="0016782F"/>
    <w:rsid w:val="001937E9"/>
    <w:rsid w:val="001964E5"/>
    <w:rsid w:val="00197A32"/>
    <w:rsid w:val="001B263B"/>
    <w:rsid w:val="001B476A"/>
    <w:rsid w:val="001B4F57"/>
    <w:rsid w:val="001C764F"/>
    <w:rsid w:val="001C7BB3"/>
    <w:rsid w:val="001D469C"/>
    <w:rsid w:val="0021619E"/>
    <w:rsid w:val="0023171B"/>
    <w:rsid w:val="00236BFC"/>
    <w:rsid w:val="00237437"/>
    <w:rsid w:val="002502FD"/>
    <w:rsid w:val="00274622"/>
    <w:rsid w:val="00285D24"/>
    <w:rsid w:val="00290390"/>
    <w:rsid w:val="002915D3"/>
    <w:rsid w:val="002924DB"/>
    <w:rsid w:val="002941DA"/>
    <w:rsid w:val="002B5648"/>
    <w:rsid w:val="002C346A"/>
    <w:rsid w:val="002D2D6B"/>
    <w:rsid w:val="002D349E"/>
    <w:rsid w:val="002E3C35"/>
    <w:rsid w:val="002F5298"/>
    <w:rsid w:val="00326AE0"/>
    <w:rsid w:val="00331400"/>
    <w:rsid w:val="00337E4F"/>
    <w:rsid w:val="00340C36"/>
    <w:rsid w:val="00346A9D"/>
    <w:rsid w:val="0039376F"/>
    <w:rsid w:val="003A287B"/>
    <w:rsid w:val="003A5C85"/>
    <w:rsid w:val="003A61B1"/>
    <w:rsid w:val="003B0050"/>
    <w:rsid w:val="003B0B12"/>
    <w:rsid w:val="003B7F80"/>
    <w:rsid w:val="003C14AE"/>
    <w:rsid w:val="003D6312"/>
    <w:rsid w:val="003E6384"/>
    <w:rsid w:val="003E7C74"/>
    <w:rsid w:val="003F0EB4"/>
    <w:rsid w:val="003F31C6"/>
    <w:rsid w:val="0040225B"/>
    <w:rsid w:val="00402DA2"/>
    <w:rsid w:val="00417734"/>
    <w:rsid w:val="00425AC2"/>
    <w:rsid w:val="0042620A"/>
    <w:rsid w:val="0044771F"/>
    <w:rsid w:val="004660E0"/>
    <w:rsid w:val="004764FC"/>
    <w:rsid w:val="00485D0D"/>
    <w:rsid w:val="004B151D"/>
    <w:rsid w:val="004C4A19"/>
    <w:rsid w:val="004C7243"/>
    <w:rsid w:val="004E21DE"/>
    <w:rsid w:val="004E3C57"/>
    <w:rsid w:val="004E3CB2"/>
    <w:rsid w:val="00525813"/>
    <w:rsid w:val="0053513F"/>
    <w:rsid w:val="0053630C"/>
    <w:rsid w:val="0057213E"/>
    <w:rsid w:val="00574405"/>
    <w:rsid w:val="00584CD8"/>
    <w:rsid w:val="005854B0"/>
    <w:rsid w:val="005A0E21"/>
    <w:rsid w:val="005B3A34"/>
    <w:rsid w:val="005D03F4"/>
    <w:rsid w:val="005D49AF"/>
    <w:rsid w:val="005E415C"/>
    <w:rsid w:val="005E71ED"/>
    <w:rsid w:val="005E7946"/>
    <w:rsid w:val="005F7475"/>
    <w:rsid w:val="00601992"/>
    <w:rsid w:val="00611299"/>
    <w:rsid w:val="00613B4D"/>
    <w:rsid w:val="00616365"/>
    <w:rsid w:val="00616F3B"/>
    <w:rsid w:val="006249A7"/>
    <w:rsid w:val="0064225B"/>
    <w:rsid w:val="006631F9"/>
    <w:rsid w:val="006763F9"/>
    <w:rsid w:val="006949BC"/>
    <w:rsid w:val="006C46DD"/>
    <w:rsid w:val="006D1229"/>
    <w:rsid w:val="006D372F"/>
    <w:rsid w:val="006D4236"/>
    <w:rsid w:val="006D7A18"/>
    <w:rsid w:val="006E4474"/>
    <w:rsid w:val="00701388"/>
    <w:rsid w:val="0071145D"/>
    <w:rsid w:val="00712C00"/>
    <w:rsid w:val="00720F48"/>
    <w:rsid w:val="00723B7F"/>
    <w:rsid w:val="00725861"/>
    <w:rsid w:val="0073393A"/>
    <w:rsid w:val="0073539D"/>
    <w:rsid w:val="00767B8A"/>
    <w:rsid w:val="00775481"/>
    <w:rsid w:val="007917D7"/>
    <w:rsid w:val="007A233B"/>
    <w:rsid w:val="007B4863"/>
    <w:rsid w:val="007C65E6"/>
    <w:rsid w:val="007D406B"/>
    <w:rsid w:val="007D4407"/>
    <w:rsid w:val="007E1CA3"/>
    <w:rsid w:val="00812D62"/>
    <w:rsid w:val="00812F29"/>
    <w:rsid w:val="00821713"/>
    <w:rsid w:val="00827050"/>
    <w:rsid w:val="00827578"/>
    <w:rsid w:val="008309BB"/>
    <w:rsid w:val="0083278B"/>
    <w:rsid w:val="00834538"/>
    <w:rsid w:val="00850E89"/>
    <w:rsid w:val="008767F2"/>
    <w:rsid w:val="008930E4"/>
    <w:rsid w:val="00893821"/>
    <w:rsid w:val="008A7B9C"/>
    <w:rsid w:val="008B39FA"/>
    <w:rsid w:val="008B4754"/>
    <w:rsid w:val="008E6A7A"/>
    <w:rsid w:val="008F1038"/>
    <w:rsid w:val="008F108F"/>
    <w:rsid w:val="008F7046"/>
    <w:rsid w:val="009005FC"/>
    <w:rsid w:val="00922E5A"/>
    <w:rsid w:val="00943315"/>
    <w:rsid w:val="00946C27"/>
    <w:rsid w:val="009826C7"/>
    <w:rsid w:val="00985FBC"/>
    <w:rsid w:val="009953EE"/>
    <w:rsid w:val="009A11D4"/>
    <w:rsid w:val="009A4F3D"/>
    <w:rsid w:val="009B0145"/>
    <w:rsid w:val="009B696B"/>
    <w:rsid w:val="009B7671"/>
    <w:rsid w:val="009E5BA1"/>
    <w:rsid w:val="009F056E"/>
    <w:rsid w:val="00A24F3D"/>
    <w:rsid w:val="00A26DCD"/>
    <w:rsid w:val="00A314BB"/>
    <w:rsid w:val="00A32B7D"/>
    <w:rsid w:val="00A5596B"/>
    <w:rsid w:val="00A60BEA"/>
    <w:rsid w:val="00A646B3"/>
    <w:rsid w:val="00A6739B"/>
    <w:rsid w:val="00A771A5"/>
    <w:rsid w:val="00A90413"/>
    <w:rsid w:val="00A96706"/>
    <w:rsid w:val="00AA728C"/>
    <w:rsid w:val="00AB0A9C"/>
    <w:rsid w:val="00AB7119"/>
    <w:rsid w:val="00AD5388"/>
    <w:rsid w:val="00AD5855"/>
    <w:rsid w:val="00AE701D"/>
    <w:rsid w:val="00AE7500"/>
    <w:rsid w:val="00AE7F87"/>
    <w:rsid w:val="00AF3542"/>
    <w:rsid w:val="00AF5ABE"/>
    <w:rsid w:val="00B00415"/>
    <w:rsid w:val="00B03C2A"/>
    <w:rsid w:val="00B1000D"/>
    <w:rsid w:val="00B10134"/>
    <w:rsid w:val="00B16BFE"/>
    <w:rsid w:val="00B500E5"/>
    <w:rsid w:val="00B763A8"/>
    <w:rsid w:val="00BA39BB"/>
    <w:rsid w:val="00BA3B3D"/>
    <w:rsid w:val="00BB0844"/>
    <w:rsid w:val="00BB7EEA"/>
    <w:rsid w:val="00BD1909"/>
    <w:rsid w:val="00BD5BE5"/>
    <w:rsid w:val="00BE5E16"/>
    <w:rsid w:val="00BE5FD1"/>
    <w:rsid w:val="00BF0905"/>
    <w:rsid w:val="00C06E05"/>
    <w:rsid w:val="00C14B14"/>
    <w:rsid w:val="00C17370"/>
    <w:rsid w:val="00C2054D"/>
    <w:rsid w:val="00C252EB"/>
    <w:rsid w:val="00C26EC0"/>
    <w:rsid w:val="00C44EDA"/>
    <w:rsid w:val="00C56C77"/>
    <w:rsid w:val="00C84923"/>
    <w:rsid w:val="00C95B9A"/>
    <w:rsid w:val="00CB7B3E"/>
    <w:rsid w:val="00CC739D"/>
    <w:rsid w:val="00CE3458"/>
    <w:rsid w:val="00CE718D"/>
    <w:rsid w:val="00D04468"/>
    <w:rsid w:val="00D30640"/>
    <w:rsid w:val="00D36257"/>
    <w:rsid w:val="00D4687E"/>
    <w:rsid w:val="00D53A12"/>
    <w:rsid w:val="00D77A27"/>
    <w:rsid w:val="00D82B86"/>
    <w:rsid w:val="00D87E2A"/>
    <w:rsid w:val="00DA06DE"/>
    <w:rsid w:val="00DB0C43"/>
    <w:rsid w:val="00DE3354"/>
    <w:rsid w:val="00DF7DCD"/>
    <w:rsid w:val="00E34CFF"/>
    <w:rsid w:val="00E50B7D"/>
    <w:rsid w:val="00E568B4"/>
    <w:rsid w:val="00E66667"/>
    <w:rsid w:val="00E904A1"/>
    <w:rsid w:val="00EB7D28"/>
    <w:rsid w:val="00EC0D0C"/>
    <w:rsid w:val="00EC2B92"/>
    <w:rsid w:val="00ED4A2C"/>
    <w:rsid w:val="00EE5830"/>
    <w:rsid w:val="00EF6940"/>
    <w:rsid w:val="00F2044A"/>
    <w:rsid w:val="00F20BFC"/>
    <w:rsid w:val="00F24D5F"/>
    <w:rsid w:val="00F726C3"/>
    <w:rsid w:val="00F820CA"/>
    <w:rsid w:val="00F8554C"/>
    <w:rsid w:val="00F95F82"/>
    <w:rsid w:val="00F97A90"/>
    <w:rsid w:val="00FC2F35"/>
    <w:rsid w:val="00FC3FD7"/>
    <w:rsid w:val="00FD1FC6"/>
    <w:rsid w:val="00FE173F"/>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E0F3EB85-51BE-44E5-BEAA-43469A6CE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unhideWhenUsed/>
    <w:rsid w:val="005E71ED"/>
    <w:rPr>
      <w:sz w:val="16"/>
      <w:szCs w:val="16"/>
    </w:rPr>
  </w:style>
  <w:style w:type="paragraph" w:styleId="CommentText">
    <w:name w:val="annotation text"/>
    <w:basedOn w:val="Normal"/>
    <w:link w:val="CommentTextChar"/>
    <w:unhideWhenUsed/>
    <w:rsid w:val="005E71ED"/>
    <w:rPr>
      <w:sz w:val="20"/>
    </w:rPr>
  </w:style>
  <w:style w:type="character" w:customStyle="1" w:styleId="CommentTextChar">
    <w:name w:val="Comment Text Char"/>
    <w:basedOn w:val="DefaultParagraphFont"/>
    <w:link w:val="CommentText"/>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Caption">
    <w:name w:val="caption"/>
    <w:basedOn w:val="Normal"/>
    <w:next w:val="Normal"/>
    <w:unhideWhenUsed/>
    <w:qFormat/>
    <w:rsid w:val="009A11D4"/>
    <w:pPr>
      <w:spacing w:after="200"/>
    </w:pPr>
    <w:rPr>
      <w:i/>
      <w:iCs/>
      <w:color w:val="1F497D" w:themeColor="text2"/>
      <w:sz w:val="18"/>
      <w:szCs w:val="18"/>
    </w:rPr>
  </w:style>
  <w:style w:type="paragraph" w:customStyle="1" w:styleId="MDPI17abstract">
    <w:name w:val="MDPI_1.7_abstract"/>
    <w:next w:val="Normal"/>
    <w:qFormat/>
    <w:rsid w:val="00AD5388"/>
    <w:pPr>
      <w:adjustRightInd w:val="0"/>
      <w:snapToGrid w:val="0"/>
      <w:spacing w:before="240" w:line="260" w:lineRule="atLeast"/>
      <w:ind w:left="2608"/>
      <w:jc w:val="both"/>
    </w:pPr>
    <w:rPr>
      <w:rFonts w:ascii="Palatino Linotype" w:hAnsi="Palatino Linotype"/>
      <w:color w:val="000000"/>
      <w:sz w:val="18"/>
      <w:szCs w:val="22"/>
      <w:lang w:val="en-US" w:eastAsia="de-DE" w:bidi="en-US"/>
    </w:rPr>
  </w:style>
  <w:style w:type="paragraph" w:customStyle="1" w:styleId="MDPI35textbeforelist">
    <w:name w:val="MDPI_3.5_text_before_list"/>
    <w:qFormat/>
    <w:rsid w:val="00AD5388"/>
    <w:pPr>
      <w:adjustRightInd w:val="0"/>
      <w:snapToGrid w:val="0"/>
      <w:spacing w:line="228" w:lineRule="auto"/>
      <w:ind w:left="2608" w:firstLine="425"/>
      <w:jc w:val="both"/>
    </w:pPr>
    <w:rPr>
      <w:rFonts w:ascii="Palatino Linotype" w:hAnsi="Palatino Linotype"/>
      <w:snapToGrid w:val="0"/>
      <w:color w:val="000000"/>
      <w:szCs w:val="22"/>
      <w:lang w:val="en-US" w:eastAsia="de-DE" w:bidi="en-US"/>
    </w:rPr>
  </w:style>
  <w:style w:type="paragraph" w:styleId="Revision">
    <w:name w:val="Revision"/>
    <w:hidden/>
    <w:uiPriority w:val="99"/>
    <w:semiHidden/>
    <w:rsid w:val="00584CD8"/>
    <w:rPr>
      <w:sz w:val="24"/>
      <w:lang w:val="en-US" w:eastAsia="en-US"/>
    </w:rPr>
  </w:style>
  <w:style w:type="paragraph" w:customStyle="1" w:styleId="MDPI31text">
    <w:name w:val="MDPI_3.1_text"/>
    <w:qFormat/>
    <w:rsid w:val="00584CD8"/>
    <w:pPr>
      <w:adjustRightInd w:val="0"/>
      <w:snapToGrid w:val="0"/>
      <w:spacing w:line="228" w:lineRule="auto"/>
      <w:ind w:left="2608" w:firstLine="425"/>
      <w:jc w:val="both"/>
    </w:pPr>
    <w:rPr>
      <w:rFonts w:ascii="Palatino Linotype" w:hAnsi="Palatino Linotype"/>
      <w:snapToGrid w:val="0"/>
      <w:color w:val="000000"/>
      <w:szCs w:val="22"/>
      <w:lang w:val="en-US" w:eastAsia="de-DE" w:bidi="en-US"/>
    </w:rPr>
  </w:style>
  <w:style w:type="paragraph" w:customStyle="1" w:styleId="MDPI41tablecaption">
    <w:name w:val="MDPI_4.1_table_caption"/>
    <w:qFormat/>
    <w:rsid w:val="00584CD8"/>
    <w:pPr>
      <w:adjustRightInd w:val="0"/>
      <w:snapToGrid w:val="0"/>
      <w:spacing w:before="240" w:after="120" w:line="228" w:lineRule="auto"/>
      <w:ind w:left="2608"/>
      <w:jc w:val="both"/>
    </w:pPr>
    <w:rPr>
      <w:rFonts w:ascii="Palatino Linotype" w:hAnsi="Palatino Linotype" w:cs="Cordia New"/>
      <w:color w:val="000000"/>
      <w:sz w:val="18"/>
      <w:szCs w:val="22"/>
      <w:lang w:val="en-US" w:eastAsia="de-DE" w:bidi="en-US"/>
    </w:rPr>
  </w:style>
  <w:style w:type="paragraph" w:styleId="BodyText">
    <w:name w:val="Body Text"/>
    <w:link w:val="BodyTextChar"/>
    <w:rsid w:val="00584CD8"/>
    <w:pPr>
      <w:spacing w:after="120" w:line="340" w:lineRule="atLeast"/>
      <w:jc w:val="both"/>
    </w:pPr>
    <w:rPr>
      <w:rFonts w:ascii="Palatino Linotype" w:eastAsia="SimSun" w:hAnsi="Palatino Linotype"/>
      <w:color w:val="000000"/>
      <w:sz w:val="24"/>
      <w:lang w:val="en-US" w:eastAsia="de-DE"/>
    </w:rPr>
  </w:style>
  <w:style w:type="character" w:customStyle="1" w:styleId="BodyTextChar">
    <w:name w:val="Body Text Char"/>
    <w:basedOn w:val="DefaultParagraphFont"/>
    <w:link w:val="BodyText"/>
    <w:rsid w:val="00584CD8"/>
    <w:rPr>
      <w:rFonts w:ascii="Palatino Linotype" w:eastAsia="SimSun" w:hAnsi="Palatino Linotype"/>
      <w:color w:val="000000"/>
      <w:sz w:val="24"/>
      <w:lang w:val="en-US" w:eastAsia="de-DE"/>
    </w:rPr>
  </w:style>
  <w:style w:type="paragraph" w:customStyle="1" w:styleId="MDPI71References">
    <w:name w:val="MDPI_7.1_References"/>
    <w:qFormat/>
    <w:rsid w:val="00B763A8"/>
    <w:pPr>
      <w:numPr>
        <w:numId w:val="48"/>
      </w:numPr>
      <w:adjustRightInd w:val="0"/>
      <w:snapToGrid w:val="0"/>
      <w:spacing w:line="228" w:lineRule="auto"/>
      <w:jc w:val="both"/>
    </w:pPr>
    <w:rPr>
      <w:rFonts w:ascii="Palatino Linotype" w:hAnsi="Palatino Linotype"/>
      <w:color w:val="000000"/>
      <w:sz w:val="18"/>
      <w:lang w:val="en-US"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048748">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16465161">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910648120">
      <w:bodyDiv w:val="1"/>
      <w:marLeft w:val="0"/>
      <w:marRight w:val="0"/>
      <w:marTop w:val="0"/>
      <w:marBottom w:val="0"/>
      <w:divBdr>
        <w:top w:val="none" w:sz="0" w:space="0" w:color="auto"/>
        <w:left w:val="none" w:sz="0" w:space="0" w:color="auto"/>
        <w:bottom w:val="none" w:sz="0" w:space="0" w:color="auto"/>
        <w:right w:val="none" w:sz="0" w:space="0" w:color="auto"/>
      </w:divBdr>
    </w:div>
    <w:div w:id="2045322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hyperlink" Target="https://www.kaggle.com/datasets/harunshimanto/epileptic-seizure-recognition" TargetMode="Externa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who.int/news-room/fact-sheets/detail/epileps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3</TotalTime>
  <Pages>7</Pages>
  <Words>3266</Words>
  <Characters>18622</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21845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dc:description/>
  <cp:lastModifiedBy>Haw Su Cheng</cp:lastModifiedBy>
  <cp:revision>2</cp:revision>
  <cp:lastPrinted>2025-09-20T10:49:00Z</cp:lastPrinted>
  <dcterms:created xsi:type="dcterms:W3CDTF">2025-09-20T10:49:00Z</dcterms:created>
  <dcterms:modified xsi:type="dcterms:W3CDTF">2025-09-20T10:49:00Z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7a220551-fa8a-4ff4-a0f5-cf6b3e65bce2</vt:lpwstr>
  </property>
</Properties>
</file>